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164" w:line="259" w:lineRule="auto"/>
        <w:ind w:left="180" w:right="0" w:firstLine="0"/>
        <w:jc w:val="center"/>
        <w:rPr>
          <w:rFonts w:hint="eastAsia" w:ascii="宋体" w:hAnsi="宋体" w:eastAsia="宋体" w:cs="宋体"/>
          <w:sz w:val="72"/>
          <w:highlight w:val="none"/>
        </w:rPr>
      </w:pPr>
      <w:r>
        <w:rPr>
          <w:rFonts w:hint="eastAsia" w:ascii="宋体" w:hAnsi="宋体" w:eastAsia="宋体" w:cs="宋体"/>
          <w:sz w:val="72"/>
          <w:highlight w:val="none"/>
        </w:rPr>
        <w:t xml:space="preserve">  </w:t>
      </w:r>
    </w:p>
    <w:p>
      <w:pPr>
        <w:spacing w:after="164" w:line="259" w:lineRule="auto"/>
        <w:ind w:left="180" w:right="0" w:firstLine="0"/>
        <w:jc w:val="center"/>
        <w:rPr>
          <w:rFonts w:hint="eastAsia" w:ascii="宋体" w:hAnsi="宋体" w:eastAsia="宋体" w:cs="宋体"/>
          <w:highlight w:val="none"/>
        </w:rPr>
      </w:pPr>
    </w:p>
    <w:p>
      <w:pPr>
        <w:spacing w:after="0" w:line="360" w:lineRule="auto"/>
        <w:ind w:left="-2" w:leftChars="-1" w:right="0" w:firstLine="1"/>
        <w:jc w:val="center"/>
        <w:rPr>
          <w:rFonts w:hint="eastAsia" w:cs="Times New Roman"/>
          <w:b/>
          <w:color w:val="auto"/>
          <w:sz w:val="48"/>
          <w:lang w:val="en-US" w:eastAsia="zh-CN"/>
        </w:rPr>
      </w:pPr>
      <w:r>
        <w:rPr>
          <w:rFonts w:cs="Times New Roman"/>
          <w:b/>
          <w:color w:val="auto"/>
          <w:sz w:val="48"/>
        </w:rPr>
        <w:t>中山大学附属第一医院</w:t>
      </w:r>
      <w:r>
        <w:rPr>
          <w:rFonts w:hint="eastAsia" w:cs="Times New Roman"/>
          <w:b/>
          <w:color w:val="auto"/>
          <w:sz w:val="48"/>
          <w:lang w:val="en-US" w:eastAsia="zh-CN"/>
        </w:rPr>
        <w:t>数据中心</w:t>
      </w:r>
    </w:p>
    <w:p>
      <w:pPr>
        <w:spacing w:after="0" w:line="360" w:lineRule="auto"/>
        <w:ind w:left="-2" w:leftChars="-1" w:right="0" w:firstLine="1"/>
        <w:jc w:val="center"/>
        <w:rPr>
          <w:rFonts w:hint="default" w:eastAsia="宋体"/>
          <w:color w:val="auto"/>
          <w:lang w:val="en-US" w:eastAsia="zh-CN"/>
        </w:rPr>
      </w:pPr>
      <w:r>
        <w:rPr>
          <w:rFonts w:hint="eastAsia" w:cs="Times New Roman"/>
          <w:b/>
          <w:color w:val="auto"/>
          <w:sz w:val="48"/>
          <w:lang w:val="en-US" w:eastAsia="zh-CN"/>
        </w:rPr>
        <w:t>及配套建设工程</w:t>
      </w:r>
    </w:p>
    <w:p>
      <w:pPr>
        <w:spacing w:after="194" w:line="259" w:lineRule="auto"/>
        <w:ind w:left="0" w:right="0" w:firstLine="0"/>
        <w:jc w:val="center"/>
        <w:rPr>
          <w:rFonts w:hint="eastAsia" w:ascii="宋体" w:hAnsi="宋体" w:eastAsia="宋体" w:cs="宋体"/>
          <w:highlight w:val="none"/>
          <w:lang w:eastAsia="zh-CN"/>
        </w:rPr>
      </w:pPr>
      <w:r>
        <w:rPr>
          <w:rFonts w:hint="eastAsia" w:ascii="宋体" w:hAnsi="宋体" w:eastAsia="宋体" w:cs="宋体"/>
          <w:sz w:val="36"/>
          <w:highlight w:val="none"/>
        </w:rPr>
        <w:t xml:space="preserve"> </w:t>
      </w:r>
    </w:p>
    <w:p>
      <w:pPr>
        <w:spacing w:after="127" w:line="259" w:lineRule="auto"/>
        <w:ind w:left="90" w:right="0" w:firstLine="0"/>
        <w:jc w:val="center"/>
        <w:rPr>
          <w:rFonts w:hint="eastAsia" w:ascii="宋体" w:hAnsi="宋体" w:eastAsia="宋体" w:cs="宋体"/>
          <w:sz w:val="36"/>
          <w:highlight w:val="none"/>
        </w:rPr>
      </w:pPr>
      <w:r>
        <w:rPr>
          <w:rFonts w:hint="eastAsia" w:ascii="宋体" w:hAnsi="宋体" w:eastAsia="宋体" w:cs="宋体"/>
          <w:sz w:val="36"/>
          <w:highlight w:val="none"/>
        </w:rPr>
        <w:t xml:space="preserve"> </w:t>
      </w:r>
    </w:p>
    <w:p>
      <w:pPr>
        <w:spacing w:after="127" w:line="259" w:lineRule="auto"/>
        <w:ind w:left="90" w:right="0" w:firstLine="0"/>
        <w:jc w:val="center"/>
        <w:rPr>
          <w:rFonts w:hint="eastAsia" w:ascii="宋体" w:hAnsi="宋体" w:eastAsia="宋体" w:cs="宋体"/>
          <w:highlight w:val="none"/>
        </w:rPr>
      </w:pPr>
    </w:p>
    <w:p>
      <w:pPr>
        <w:spacing w:after="0" w:line="378" w:lineRule="auto"/>
        <w:ind w:left="0" w:right="8" w:firstLine="0"/>
        <w:jc w:val="center"/>
        <w:rPr>
          <w:rFonts w:hint="eastAsia" w:ascii="宋体" w:hAnsi="宋体" w:eastAsia="宋体" w:cs="宋体"/>
          <w:sz w:val="28"/>
          <w:highlight w:val="none"/>
        </w:rPr>
      </w:pPr>
      <w:r>
        <w:rPr>
          <w:rFonts w:hint="eastAsia" w:ascii="宋体" w:hAnsi="宋体" w:eastAsia="宋体" w:cs="宋体"/>
          <w:sz w:val="28"/>
          <w:highlight w:val="none"/>
        </w:rPr>
        <w:t>技术规格说明书</w:t>
      </w:r>
    </w:p>
    <w:p>
      <w:pPr>
        <w:spacing w:after="0" w:line="378" w:lineRule="auto"/>
        <w:ind w:left="0" w:right="8" w:firstLine="0"/>
        <w:jc w:val="center"/>
        <w:rPr>
          <w:rFonts w:hint="eastAsia" w:ascii="宋体" w:hAnsi="宋体" w:eastAsia="宋体" w:cs="宋体"/>
          <w:sz w:val="28"/>
          <w:highlight w:val="none"/>
        </w:rPr>
      </w:pPr>
      <w:r>
        <w:rPr>
          <w:rFonts w:hint="eastAsia" w:ascii="宋体" w:hAnsi="宋体" w:eastAsia="宋体" w:cs="宋体"/>
          <w:sz w:val="28"/>
          <w:highlight w:val="none"/>
        </w:rPr>
        <w:t>第二部分</w:t>
      </w:r>
    </w:p>
    <w:p>
      <w:pPr>
        <w:spacing w:after="0" w:line="378" w:lineRule="auto"/>
        <w:ind w:left="0" w:right="8" w:hanging="21"/>
        <w:jc w:val="center"/>
        <w:rPr>
          <w:rFonts w:hint="eastAsia" w:ascii="宋体" w:hAnsi="宋体" w:eastAsia="宋体" w:cs="宋体"/>
          <w:highlight w:val="none"/>
        </w:rPr>
      </w:pPr>
      <w:r>
        <w:rPr>
          <w:rFonts w:hint="eastAsia" w:ascii="宋体" w:hAnsi="宋体" w:eastAsia="宋体" w:cs="宋体"/>
          <w:sz w:val="28"/>
          <w:highlight w:val="none"/>
        </w:rPr>
        <w:t>工程范围与分工界面</w:t>
      </w:r>
    </w:p>
    <w:p>
      <w:pPr>
        <w:spacing w:after="0" w:line="259" w:lineRule="auto"/>
        <w:ind w:left="70" w:right="0" w:firstLine="0"/>
        <w:jc w:val="center"/>
        <w:rPr>
          <w:rFonts w:hint="eastAsia" w:ascii="宋体" w:hAnsi="宋体" w:eastAsia="宋体" w:cs="宋体"/>
          <w:highlight w:val="none"/>
        </w:rPr>
      </w:pPr>
      <w:r>
        <w:rPr>
          <w:rFonts w:hint="eastAsia" w:ascii="宋体" w:hAnsi="宋体" w:eastAsia="宋体" w:cs="宋体"/>
          <w:sz w:val="28"/>
          <w:highlight w:val="none"/>
        </w:rPr>
        <w:t xml:space="preserve"> </w:t>
      </w:r>
    </w:p>
    <w:tbl>
      <w:tblPr>
        <w:tblStyle w:val="13"/>
        <w:tblW w:w="7663" w:type="dxa"/>
        <w:tblInd w:w="0" w:type="dxa"/>
        <w:tblLayout w:type="autofit"/>
        <w:tblCellMar>
          <w:top w:w="0" w:type="dxa"/>
          <w:left w:w="0" w:type="dxa"/>
          <w:bottom w:w="8" w:type="dxa"/>
          <w:right w:w="0" w:type="dxa"/>
        </w:tblCellMar>
      </w:tblPr>
      <w:tblGrid>
        <w:gridCol w:w="2802"/>
        <w:gridCol w:w="4861"/>
      </w:tblGrid>
      <w:tr>
        <w:tblPrEx>
          <w:tblCellMar>
            <w:top w:w="0" w:type="dxa"/>
            <w:left w:w="0" w:type="dxa"/>
            <w:bottom w:w="8" w:type="dxa"/>
            <w:right w:w="0" w:type="dxa"/>
          </w:tblCellMar>
        </w:tblPrEx>
        <w:trPr>
          <w:trHeight w:val="2282" w:hRule="atLeast"/>
        </w:trPr>
        <w:tc>
          <w:tcPr>
            <w:tcW w:w="2802" w:type="dxa"/>
            <w:tcBorders>
              <w:top w:val="nil"/>
              <w:left w:val="nil"/>
              <w:bottom w:val="nil"/>
              <w:right w:val="nil"/>
            </w:tcBorders>
          </w:tcPr>
          <w:p>
            <w:pPr>
              <w:spacing w:after="0" w:line="259" w:lineRule="auto"/>
              <w:ind w:left="0" w:right="0" w:firstLine="0"/>
              <w:rPr>
                <w:rFonts w:hint="eastAsia" w:ascii="宋体" w:hAnsi="宋体" w:eastAsia="宋体" w:cs="宋体"/>
                <w:highlight w:val="none"/>
              </w:rPr>
            </w:pPr>
            <w:r>
              <w:rPr>
                <w:rFonts w:hint="eastAsia" w:ascii="宋体" w:hAnsi="宋体" w:eastAsia="宋体" w:cs="宋体"/>
                <w:sz w:val="22"/>
                <w:highlight w:val="none"/>
              </w:rPr>
              <w:t xml:space="preserve"> </w:t>
            </w:r>
          </w:p>
          <w:p>
            <w:pPr>
              <w:spacing w:after="0" w:line="259" w:lineRule="auto"/>
              <w:ind w:left="0" w:right="0" w:firstLine="0"/>
              <w:rPr>
                <w:rFonts w:hint="eastAsia" w:ascii="宋体" w:hAnsi="宋体" w:eastAsia="宋体" w:cs="宋体"/>
                <w:highlight w:val="none"/>
              </w:rPr>
            </w:pPr>
            <w:r>
              <w:rPr>
                <w:rFonts w:hint="eastAsia" w:ascii="宋体" w:hAnsi="宋体" w:eastAsia="宋体" w:cs="宋体"/>
                <w:sz w:val="22"/>
                <w:highlight w:val="none"/>
              </w:rPr>
              <w:t xml:space="preserve"> </w:t>
            </w:r>
          </w:p>
          <w:p>
            <w:pPr>
              <w:spacing w:after="0" w:line="259" w:lineRule="auto"/>
              <w:ind w:left="0" w:right="0" w:firstLine="0"/>
              <w:rPr>
                <w:rFonts w:hint="eastAsia" w:ascii="宋体" w:hAnsi="宋体" w:eastAsia="宋体" w:cs="宋体"/>
                <w:highlight w:val="none"/>
              </w:rPr>
            </w:pPr>
            <w:r>
              <w:rPr>
                <w:rFonts w:hint="eastAsia" w:ascii="宋体" w:hAnsi="宋体" w:eastAsia="宋体" w:cs="宋体"/>
                <w:sz w:val="22"/>
                <w:highlight w:val="none"/>
              </w:rPr>
              <w:t xml:space="preserve"> </w:t>
            </w:r>
          </w:p>
          <w:p>
            <w:pPr>
              <w:spacing w:after="0" w:line="259" w:lineRule="auto"/>
              <w:ind w:left="0" w:right="0" w:firstLine="0"/>
              <w:rPr>
                <w:rFonts w:hint="eastAsia" w:ascii="宋体" w:hAnsi="宋体" w:eastAsia="宋体" w:cs="宋体"/>
                <w:highlight w:val="none"/>
              </w:rPr>
            </w:pPr>
            <w:r>
              <w:rPr>
                <w:rFonts w:hint="eastAsia" w:ascii="宋体" w:hAnsi="宋体" w:eastAsia="宋体" w:cs="宋体"/>
                <w:sz w:val="22"/>
                <w:highlight w:val="none"/>
              </w:rPr>
              <w:t xml:space="preserve"> </w:t>
            </w:r>
          </w:p>
          <w:p>
            <w:pPr>
              <w:spacing w:after="0" w:line="259" w:lineRule="auto"/>
              <w:ind w:left="0" w:right="0" w:firstLine="0"/>
              <w:rPr>
                <w:rFonts w:hint="eastAsia" w:ascii="宋体" w:hAnsi="宋体" w:eastAsia="宋体" w:cs="宋体"/>
                <w:highlight w:val="none"/>
              </w:rPr>
            </w:pPr>
            <w:r>
              <w:rPr>
                <w:rFonts w:hint="eastAsia" w:ascii="宋体" w:hAnsi="宋体" w:eastAsia="宋体" w:cs="宋体"/>
                <w:sz w:val="22"/>
                <w:highlight w:val="none"/>
              </w:rPr>
              <w:t xml:space="preserve"> </w:t>
            </w:r>
          </w:p>
          <w:p>
            <w:pPr>
              <w:spacing w:after="232" w:line="259" w:lineRule="auto"/>
              <w:ind w:left="0" w:right="0" w:firstLine="0"/>
              <w:rPr>
                <w:rFonts w:hint="eastAsia" w:ascii="宋体" w:hAnsi="宋体" w:eastAsia="宋体" w:cs="宋体"/>
                <w:highlight w:val="none"/>
              </w:rPr>
            </w:pPr>
            <w:r>
              <w:rPr>
                <w:rFonts w:hint="eastAsia" w:ascii="宋体" w:hAnsi="宋体" w:eastAsia="宋体" w:cs="宋体"/>
                <w:sz w:val="22"/>
                <w:highlight w:val="none"/>
              </w:rPr>
              <w:t xml:space="preserve"> </w:t>
            </w:r>
          </w:p>
          <w:p>
            <w:pPr>
              <w:spacing w:after="0" w:line="259" w:lineRule="auto"/>
              <w:ind w:left="0" w:right="0" w:firstLine="0"/>
              <w:rPr>
                <w:rFonts w:hint="eastAsia" w:ascii="宋体" w:hAnsi="宋体" w:eastAsia="宋体" w:cs="宋体"/>
                <w:highlight w:val="none"/>
              </w:rPr>
            </w:pPr>
            <w:r>
              <w:rPr>
                <w:rFonts w:hint="eastAsia" w:ascii="宋体" w:hAnsi="宋体" w:eastAsia="宋体" w:cs="宋体"/>
                <w:sz w:val="22"/>
                <w:highlight w:val="none"/>
              </w:rPr>
              <w:t xml:space="preserve"> </w:t>
            </w:r>
          </w:p>
        </w:tc>
        <w:tc>
          <w:tcPr>
            <w:tcW w:w="4860" w:type="dxa"/>
            <w:tcBorders>
              <w:top w:val="nil"/>
              <w:left w:val="nil"/>
              <w:bottom w:val="nil"/>
              <w:right w:val="nil"/>
            </w:tcBorders>
            <w:vAlign w:val="bottom"/>
          </w:tcPr>
          <w:p>
            <w:pPr>
              <w:spacing w:after="0" w:line="259" w:lineRule="auto"/>
              <w:ind w:left="1712" w:right="0" w:firstLine="0"/>
              <w:rPr>
                <w:rFonts w:hint="eastAsia" w:ascii="宋体" w:hAnsi="宋体" w:eastAsia="宋体" w:cs="宋体"/>
                <w:highlight w:val="none"/>
              </w:rPr>
            </w:pPr>
            <w:r>
              <w:rPr>
                <w:rFonts w:hint="eastAsia" w:ascii="宋体" w:hAnsi="宋体" w:eastAsia="宋体" w:cs="宋体"/>
                <w:sz w:val="22"/>
                <w:highlight w:val="none"/>
              </w:rPr>
              <w:t xml:space="preserve"> </w:t>
            </w:r>
          </w:p>
        </w:tc>
      </w:tr>
      <w:tr>
        <w:tblPrEx>
          <w:tblCellMar>
            <w:top w:w="0" w:type="dxa"/>
            <w:left w:w="0" w:type="dxa"/>
            <w:bottom w:w="8" w:type="dxa"/>
            <w:right w:w="0" w:type="dxa"/>
          </w:tblCellMar>
        </w:tblPrEx>
        <w:trPr>
          <w:trHeight w:val="848" w:hRule="atLeast"/>
        </w:trPr>
        <w:tc>
          <w:tcPr>
            <w:tcW w:w="2802" w:type="dxa"/>
            <w:tcBorders>
              <w:top w:val="nil"/>
              <w:left w:val="nil"/>
              <w:bottom w:val="nil"/>
              <w:right w:val="nil"/>
            </w:tcBorders>
          </w:tcPr>
          <w:p>
            <w:pPr>
              <w:spacing w:after="0" w:line="259" w:lineRule="auto"/>
              <w:ind w:left="108" w:right="0" w:firstLine="0"/>
              <w:rPr>
                <w:rFonts w:hint="eastAsia" w:ascii="宋体" w:hAnsi="宋体" w:eastAsia="宋体" w:cs="宋体"/>
                <w:highlight w:val="none"/>
              </w:rPr>
            </w:pPr>
            <w:r>
              <w:rPr>
                <w:rFonts w:hint="eastAsia" w:ascii="宋体" w:hAnsi="宋体" w:eastAsia="宋体" w:cs="宋体"/>
                <w:highlight w:val="none"/>
              </w:rPr>
              <w:t xml:space="preserve">业主：  </w:t>
            </w:r>
          </w:p>
        </w:tc>
        <w:tc>
          <w:tcPr>
            <w:tcW w:w="4860" w:type="dxa"/>
            <w:tcBorders>
              <w:top w:val="nil"/>
              <w:left w:val="nil"/>
              <w:bottom w:val="nil"/>
              <w:right w:val="nil"/>
            </w:tcBorders>
          </w:tcPr>
          <w:p>
            <w:pPr>
              <w:spacing w:after="0" w:line="259" w:lineRule="auto"/>
              <w:ind w:left="0" w:right="0" w:firstLine="0"/>
              <w:rPr>
                <w:rFonts w:hint="eastAsia" w:ascii="宋体" w:hAnsi="宋体" w:eastAsia="宋体" w:cs="宋体"/>
                <w:highlight w:val="none"/>
              </w:rPr>
            </w:pPr>
            <w:r>
              <w:rPr>
                <w:rFonts w:hint="eastAsia" w:ascii="宋体" w:hAnsi="宋体" w:eastAsia="宋体" w:cs="宋体"/>
                <w:highlight w:val="none"/>
              </w:rPr>
              <w:t xml:space="preserve">中山大学附属第一医院 </w:t>
            </w:r>
          </w:p>
        </w:tc>
      </w:tr>
      <w:tr>
        <w:tblPrEx>
          <w:tblCellMar>
            <w:top w:w="0" w:type="dxa"/>
            <w:left w:w="0" w:type="dxa"/>
            <w:bottom w:w="8" w:type="dxa"/>
            <w:right w:w="0" w:type="dxa"/>
          </w:tblCellMar>
        </w:tblPrEx>
        <w:trPr>
          <w:trHeight w:val="467" w:hRule="atLeast"/>
        </w:trPr>
        <w:tc>
          <w:tcPr>
            <w:tcW w:w="2802" w:type="dxa"/>
            <w:tcBorders>
              <w:top w:val="nil"/>
              <w:left w:val="nil"/>
              <w:bottom w:val="nil"/>
              <w:right w:val="nil"/>
            </w:tcBorders>
            <w:vAlign w:val="center"/>
          </w:tcPr>
          <w:p>
            <w:pPr>
              <w:spacing w:after="0" w:line="259" w:lineRule="auto"/>
              <w:ind w:left="108" w:right="0" w:firstLine="0"/>
              <w:rPr>
                <w:rFonts w:hint="eastAsia" w:ascii="宋体" w:hAnsi="宋体" w:eastAsia="宋体" w:cs="宋体"/>
                <w:highlight w:val="none"/>
              </w:rPr>
            </w:pPr>
            <w:r>
              <w:rPr>
                <w:rFonts w:hint="eastAsia" w:ascii="宋体" w:hAnsi="宋体" w:eastAsia="宋体" w:cs="宋体"/>
                <w:highlight w:val="none"/>
              </w:rPr>
              <w:t xml:space="preserve">顾问： </w:t>
            </w:r>
          </w:p>
        </w:tc>
        <w:tc>
          <w:tcPr>
            <w:tcW w:w="4860" w:type="dxa"/>
            <w:tcBorders>
              <w:top w:val="nil"/>
              <w:left w:val="nil"/>
              <w:bottom w:val="nil"/>
              <w:right w:val="nil"/>
            </w:tcBorders>
            <w:vAlign w:val="center"/>
          </w:tcPr>
          <w:p>
            <w:pPr>
              <w:spacing w:after="0" w:line="259" w:lineRule="auto"/>
              <w:ind w:left="0" w:right="0" w:firstLine="0"/>
              <w:jc w:val="both"/>
              <w:rPr>
                <w:rFonts w:hint="eastAsia" w:ascii="宋体" w:hAnsi="宋体" w:eastAsia="宋体" w:cs="宋体"/>
                <w:highlight w:val="none"/>
              </w:rPr>
            </w:pPr>
            <w:r>
              <w:rPr>
                <w:rFonts w:hint="eastAsia" w:ascii="宋体" w:hAnsi="宋体" w:eastAsia="宋体" w:cs="宋体"/>
                <w:highlight w:val="none"/>
              </w:rPr>
              <w:t>深圳市建筑设计研究总院有限公司</w:t>
            </w:r>
          </w:p>
        </w:tc>
      </w:tr>
      <w:tr>
        <w:tblPrEx>
          <w:tblCellMar>
            <w:top w:w="0" w:type="dxa"/>
            <w:left w:w="0" w:type="dxa"/>
            <w:bottom w:w="8" w:type="dxa"/>
            <w:right w:w="0" w:type="dxa"/>
          </w:tblCellMar>
        </w:tblPrEx>
        <w:trPr>
          <w:trHeight w:val="467" w:hRule="atLeast"/>
        </w:trPr>
        <w:tc>
          <w:tcPr>
            <w:tcW w:w="2802" w:type="dxa"/>
            <w:tcBorders>
              <w:top w:val="nil"/>
              <w:left w:val="nil"/>
              <w:bottom w:val="nil"/>
              <w:right w:val="nil"/>
            </w:tcBorders>
            <w:vAlign w:val="center"/>
          </w:tcPr>
          <w:p>
            <w:pPr>
              <w:spacing w:after="0" w:line="259" w:lineRule="auto"/>
              <w:ind w:left="108" w:right="0" w:firstLine="0"/>
              <w:rPr>
                <w:rFonts w:hint="eastAsia" w:ascii="宋体" w:hAnsi="宋体" w:eastAsia="宋体" w:cs="宋体"/>
                <w:highlight w:val="none"/>
              </w:rPr>
            </w:pPr>
          </w:p>
        </w:tc>
        <w:tc>
          <w:tcPr>
            <w:tcW w:w="4860" w:type="dxa"/>
            <w:tcBorders>
              <w:top w:val="nil"/>
              <w:left w:val="nil"/>
              <w:bottom w:val="nil"/>
              <w:right w:val="nil"/>
            </w:tcBorders>
            <w:vAlign w:val="center"/>
          </w:tcPr>
          <w:p>
            <w:pPr>
              <w:spacing w:after="0" w:line="259" w:lineRule="auto"/>
              <w:ind w:left="0" w:right="0" w:firstLine="0"/>
              <w:jc w:val="both"/>
              <w:rPr>
                <w:rFonts w:hint="eastAsia" w:ascii="宋体" w:hAnsi="宋体" w:eastAsia="宋体" w:cs="宋体"/>
                <w:highlight w:val="none"/>
              </w:rPr>
            </w:pPr>
          </w:p>
        </w:tc>
      </w:tr>
      <w:tr>
        <w:tblPrEx>
          <w:tblCellMar>
            <w:top w:w="0" w:type="dxa"/>
            <w:left w:w="0" w:type="dxa"/>
            <w:bottom w:w="8" w:type="dxa"/>
            <w:right w:w="0" w:type="dxa"/>
          </w:tblCellMar>
        </w:tblPrEx>
        <w:trPr>
          <w:trHeight w:val="366" w:hRule="atLeast"/>
        </w:trPr>
        <w:tc>
          <w:tcPr>
            <w:tcW w:w="2802" w:type="dxa"/>
            <w:tcBorders>
              <w:top w:val="nil"/>
              <w:left w:val="nil"/>
              <w:bottom w:val="nil"/>
              <w:right w:val="nil"/>
            </w:tcBorders>
          </w:tcPr>
          <w:p>
            <w:pPr>
              <w:spacing w:after="0" w:line="259" w:lineRule="auto"/>
              <w:ind w:left="108" w:right="0" w:firstLine="0"/>
              <w:rPr>
                <w:rFonts w:hint="eastAsia" w:ascii="宋体" w:hAnsi="宋体" w:eastAsia="宋体" w:cs="宋体"/>
                <w:highlight w:val="none"/>
              </w:rPr>
            </w:pPr>
            <w:r>
              <w:rPr>
                <w:rFonts w:hint="eastAsia" w:ascii="宋体" w:hAnsi="宋体" w:eastAsia="宋体" w:cs="宋体"/>
                <w:highlight w:val="none"/>
              </w:rPr>
              <w:t>日期：</w:t>
            </w:r>
            <w:r>
              <w:rPr>
                <w:rFonts w:hint="eastAsia" w:ascii="宋体" w:hAnsi="宋体" w:eastAsia="宋体" w:cs="宋体"/>
                <w:b/>
                <w:highlight w:val="none"/>
              </w:rPr>
              <w:t xml:space="preserve">  </w:t>
            </w:r>
          </w:p>
        </w:tc>
        <w:tc>
          <w:tcPr>
            <w:tcW w:w="4860" w:type="dxa"/>
            <w:tcBorders>
              <w:top w:val="nil"/>
              <w:left w:val="nil"/>
              <w:bottom w:val="nil"/>
              <w:right w:val="nil"/>
            </w:tcBorders>
          </w:tcPr>
          <w:p>
            <w:pPr>
              <w:spacing w:after="0" w:line="259" w:lineRule="auto"/>
              <w:ind w:left="0" w:right="0" w:firstLine="0"/>
              <w:rPr>
                <w:rFonts w:hint="eastAsia" w:ascii="宋体" w:hAnsi="宋体" w:eastAsia="宋体" w:cs="宋体"/>
                <w:highlight w:val="none"/>
              </w:rPr>
            </w:pPr>
            <w:r>
              <w:rPr>
                <w:rFonts w:hint="eastAsia" w:ascii="宋体" w:hAnsi="宋体" w:eastAsia="宋体" w:cs="宋体"/>
                <w:highlight w:val="none"/>
              </w:rPr>
              <w:t>202</w:t>
            </w:r>
            <w:r>
              <w:rPr>
                <w:rFonts w:hint="eastAsia" w:ascii="宋体" w:hAnsi="宋体" w:eastAsia="宋体" w:cs="宋体"/>
                <w:highlight w:val="none"/>
                <w:lang w:val="en-US" w:eastAsia="zh-CN"/>
              </w:rPr>
              <w:t>2</w:t>
            </w:r>
            <w:r>
              <w:rPr>
                <w:rFonts w:hint="eastAsia" w:ascii="宋体" w:hAnsi="宋体" w:eastAsia="宋体" w:cs="宋体"/>
                <w:highlight w:val="none"/>
              </w:rPr>
              <w:t>年</w:t>
            </w:r>
            <w:r>
              <w:rPr>
                <w:rFonts w:hint="eastAsia" w:cs="宋体"/>
                <w:highlight w:val="none"/>
                <w:lang w:val="en-US" w:eastAsia="zh-CN"/>
              </w:rPr>
              <w:t>11</w:t>
            </w:r>
            <w:r>
              <w:rPr>
                <w:rFonts w:hint="eastAsia" w:ascii="宋体" w:hAnsi="宋体" w:eastAsia="宋体" w:cs="宋体"/>
                <w:highlight w:val="none"/>
                <w:lang w:val="en-US" w:eastAsia="zh-CN"/>
              </w:rPr>
              <w:t>月</w:t>
            </w:r>
            <w:r>
              <w:rPr>
                <w:rFonts w:hint="eastAsia" w:ascii="宋体" w:hAnsi="宋体" w:eastAsia="宋体" w:cs="宋体"/>
                <w:highlight w:val="none"/>
              </w:rPr>
              <w:t xml:space="preserve"> </w:t>
            </w:r>
          </w:p>
        </w:tc>
      </w:tr>
    </w:tbl>
    <w:p>
      <w:pPr>
        <w:spacing w:after="120" w:line="259" w:lineRule="auto"/>
        <w:ind w:left="0" w:right="0" w:firstLine="0"/>
        <w:rPr>
          <w:rFonts w:hint="eastAsia" w:ascii="宋体" w:hAnsi="宋体" w:eastAsia="宋体" w:cs="宋体"/>
          <w:highlight w:val="none"/>
        </w:rPr>
      </w:pPr>
      <w:r>
        <w:rPr>
          <w:rFonts w:hint="eastAsia" w:ascii="宋体" w:hAnsi="宋体" w:eastAsia="宋体" w:cs="宋体"/>
          <w:highlight w:val="none"/>
        </w:rPr>
        <w:t xml:space="preserve"> </w:t>
      </w:r>
      <w:r>
        <w:rPr>
          <w:rFonts w:hint="eastAsia" w:ascii="宋体" w:hAnsi="宋体" w:eastAsia="宋体" w:cs="宋体"/>
          <w:highlight w:val="none"/>
        </w:rPr>
        <w:tab/>
      </w:r>
      <w:r>
        <w:rPr>
          <w:rFonts w:hint="eastAsia" w:ascii="宋体" w:hAnsi="宋体" w:eastAsia="宋体" w:cs="宋体"/>
          <w:b/>
          <w:highlight w:val="none"/>
        </w:rPr>
        <w:t xml:space="preserve"> </w:t>
      </w:r>
    </w:p>
    <w:p>
      <w:pPr>
        <w:spacing w:after="120" w:line="259" w:lineRule="auto"/>
        <w:ind w:left="0" w:right="0" w:firstLine="0"/>
        <w:rPr>
          <w:rFonts w:hint="eastAsia" w:ascii="宋体" w:hAnsi="宋体" w:eastAsia="宋体" w:cs="宋体"/>
          <w:highlight w:val="none"/>
        </w:rPr>
      </w:pPr>
      <w:r>
        <w:rPr>
          <w:rFonts w:hint="eastAsia" w:ascii="宋体" w:hAnsi="宋体" w:eastAsia="宋体" w:cs="宋体"/>
          <w:highlight w:val="none"/>
        </w:rPr>
        <w:t xml:space="preserve"> </w:t>
      </w:r>
      <w:r>
        <w:rPr>
          <w:rFonts w:hint="eastAsia" w:ascii="宋体" w:hAnsi="宋体" w:eastAsia="宋体" w:cs="宋体"/>
          <w:highlight w:val="none"/>
        </w:rPr>
        <w:tab/>
      </w:r>
      <w:r>
        <w:rPr>
          <w:rFonts w:hint="eastAsia" w:ascii="宋体" w:hAnsi="宋体" w:eastAsia="宋体" w:cs="宋体"/>
          <w:b/>
          <w:highlight w:val="none"/>
        </w:rPr>
        <w:t xml:space="preserve"> </w:t>
      </w:r>
      <w:r>
        <w:rPr>
          <w:rFonts w:hint="eastAsia" w:ascii="宋体" w:hAnsi="宋体" w:eastAsia="宋体" w:cs="宋体"/>
          <w:highlight w:val="none"/>
        </w:rPr>
        <w:br w:type="page"/>
      </w:r>
    </w:p>
    <w:p>
      <w:pPr>
        <w:spacing w:after="164" w:line="259" w:lineRule="auto"/>
        <w:ind w:left="130" w:right="0" w:firstLine="0"/>
        <w:jc w:val="center"/>
        <w:rPr>
          <w:rFonts w:hint="eastAsia" w:ascii="宋体" w:hAnsi="宋体" w:eastAsia="宋体" w:cs="宋体"/>
          <w:highlight w:val="none"/>
        </w:rPr>
      </w:pPr>
      <w:r>
        <w:rPr>
          <w:rFonts w:hint="eastAsia" w:ascii="宋体" w:hAnsi="宋体" w:eastAsia="宋体" w:cs="宋体"/>
          <w:highlight w:val="none"/>
        </w:rPr>
        <w:t xml:space="preserve"> </w:t>
      </w:r>
    </w:p>
    <w:p>
      <w:pPr>
        <w:spacing w:after="59" w:line="259" w:lineRule="auto"/>
        <w:ind w:left="10" w:right="0" w:firstLine="0"/>
        <w:jc w:val="center"/>
        <w:rPr>
          <w:rFonts w:hint="eastAsia" w:ascii="宋体" w:hAnsi="宋体" w:eastAsia="宋体" w:cs="宋体"/>
          <w:highlight w:val="none"/>
        </w:rPr>
      </w:pPr>
      <w:r>
        <w:rPr>
          <w:rFonts w:hint="eastAsia" w:ascii="宋体" w:hAnsi="宋体" w:eastAsia="宋体" w:cs="宋体"/>
          <w:highlight w:val="none"/>
        </w:rPr>
        <w:t xml:space="preserve"> </w:t>
      </w:r>
    </w:p>
    <w:p>
      <w:pPr>
        <w:spacing w:after="0" w:line="360" w:lineRule="auto"/>
        <w:ind w:left="0" w:right="99"/>
        <w:jc w:val="center"/>
        <w:rPr>
          <w:rFonts w:hint="default" w:eastAsia="宋体"/>
          <w:color w:val="auto"/>
          <w:lang w:val="en-US" w:eastAsia="zh-CN"/>
        </w:rPr>
      </w:pPr>
      <w:r>
        <w:rPr>
          <w:color w:val="auto"/>
        </w:rPr>
        <w:t>中山大学附属第一医院</w:t>
      </w:r>
      <w:r>
        <w:rPr>
          <w:rFonts w:hint="eastAsia"/>
          <w:color w:val="auto"/>
          <w:lang w:val="en-US" w:eastAsia="zh-CN"/>
        </w:rPr>
        <w:t>数据中心</w:t>
      </w:r>
    </w:p>
    <w:p>
      <w:pPr>
        <w:spacing w:after="4" w:line="307" w:lineRule="auto"/>
        <w:ind w:left="0" w:right="99"/>
        <w:jc w:val="center"/>
        <w:rPr>
          <w:rFonts w:hint="eastAsia" w:ascii="宋体" w:hAnsi="宋体" w:eastAsia="宋体" w:cs="宋体"/>
          <w:highlight w:val="none"/>
        </w:rPr>
      </w:pPr>
      <w:r>
        <w:rPr>
          <w:rFonts w:hint="eastAsia"/>
          <w:color w:val="auto"/>
          <w:lang w:val="en-US" w:eastAsia="zh-CN"/>
        </w:rPr>
        <w:t>及配套建设工程</w:t>
      </w:r>
      <w:r>
        <w:rPr>
          <w:rFonts w:hint="eastAsia" w:ascii="宋体" w:hAnsi="宋体" w:eastAsia="宋体" w:cs="宋体"/>
          <w:highlight w:val="none"/>
        </w:rPr>
        <w:t xml:space="preserve"> </w:t>
      </w:r>
    </w:p>
    <w:p>
      <w:pPr>
        <w:spacing w:after="4" w:line="304" w:lineRule="auto"/>
        <w:ind w:left="3445" w:right="3375"/>
        <w:jc w:val="center"/>
        <w:rPr>
          <w:rFonts w:hint="eastAsia" w:ascii="宋体" w:hAnsi="宋体" w:eastAsia="宋体" w:cs="宋体"/>
          <w:highlight w:val="none"/>
        </w:rPr>
      </w:pPr>
      <w:r>
        <w:rPr>
          <w:rFonts w:hint="eastAsia" w:ascii="宋体" w:hAnsi="宋体" w:eastAsia="宋体" w:cs="宋体"/>
          <w:highlight w:val="none"/>
        </w:rPr>
        <w:t>技术规格说明书</w:t>
      </w:r>
    </w:p>
    <w:p>
      <w:pPr>
        <w:spacing w:after="4" w:line="304" w:lineRule="auto"/>
        <w:ind w:left="3445" w:right="3375"/>
        <w:jc w:val="center"/>
        <w:rPr>
          <w:rFonts w:hint="eastAsia" w:ascii="宋体" w:hAnsi="宋体" w:eastAsia="宋体" w:cs="宋体"/>
          <w:highlight w:val="none"/>
        </w:rPr>
      </w:pPr>
      <w:r>
        <w:rPr>
          <w:rFonts w:hint="eastAsia" w:ascii="宋体" w:hAnsi="宋体" w:eastAsia="宋体" w:cs="宋体"/>
          <w:highlight w:val="none"/>
        </w:rPr>
        <w:t xml:space="preserve">目录 </w:t>
      </w:r>
    </w:p>
    <w:p>
      <w:pPr>
        <w:spacing w:after="59" w:line="259" w:lineRule="auto"/>
        <w:ind w:left="10" w:right="0" w:firstLine="0"/>
        <w:jc w:val="center"/>
        <w:rPr>
          <w:rFonts w:hint="eastAsia" w:ascii="宋体" w:hAnsi="宋体" w:eastAsia="宋体" w:cs="宋体"/>
          <w:highlight w:val="none"/>
        </w:rPr>
      </w:pPr>
      <w:r>
        <w:rPr>
          <w:rFonts w:hint="eastAsia" w:ascii="宋体" w:hAnsi="宋体" w:eastAsia="宋体" w:cs="宋体"/>
          <w:highlight w:val="none"/>
        </w:rPr>
        <w:t xml:space="preserve"> </w:t>
      </w:r>
    </w:p>
    <w:p>
      <w:pPr>
        <w:tabs>
          <w:tab w:val="right" w:pos="9080"/>
        </w:tabs>
        <w:spacing w:after="7"/>
        <w:ind w:left="0" w:right="0" w:firstLine="0"/>
        <w:rPr>
          <w:rFonts w:hint="eastAsia" w:ascii="宋体" w:hAnsi="宋体" w:eastAsia="宋体" w:cs="宋体"/>
          <w:highlight w:val="none"/>
        </w:rPr>
      </w:pPr>
      <w:r>
        <w:rPr>
          <w:rFonts w:hint="eastAsia" w:ascii="宋体" w:hAnsi="宋体" w:eastAsia="宋体" w:cs="宋体"/>
          <w:highlight w:val="none"/>
        </w:rPr>
        <w:t xml:space="preserve">第二部分 </w:t>
      </w:r>
      <w:r>
        <w:rPr>
          <w:rFonts w:hint="eastAsia" w:ascii="宋体" w:hAnsi="宋体" w:eastAsia="宋体" w:cs="宋体"/>
          <w:highlight w:val="none"/>
        </w:rPr>
        <w:tab/>
      </w:r>
    </w:p>
    <w:p>
      <w:pPr>
        <w:spacing w:after="0" w:line="259" w:lineRule="auto"/>
        <w:ind w:left="0" w:right="0" w:firstLine="0"/>
        <w:rPr>
          <w:rFonts w:hint="eastAsia" w:ascii="宋体" w:hAnsi="宋体" w:eastAsia="宋体" w:cs="宋体"/>
          <w:highlight w:val="none"/>
        </w:rPr>
      </w:pPr>
      <w:r>
        <w:rPr>
          <w:rFonts w:hint="eastAsia" w:ascii="宋体" w:hAnsi="宋体" w:eastAsia="宋体" w:cs="宋体"/>
          <w:sz w:val="20"/>
          <w:highlight w:val="none"/>
        </w:rPr>
        <w:t xml:space="preserve"> </w:t>
      </w:r>
      <w:r>
        <w:rPr>
          <w:rFonts w:hint="eastAsia" w:ascii="宋体" w:hAnsi="宋体" w:eastAsia="宋体" w:cs="宋体"/>
          <w:sz w:val="22"/>
          <w:highlight w:val="none"/>
        </w:rPr>
        <w:t xml:space="preserve"> </w:t>
      </w:r>
      <w:r>
        <w:rPr>
          <w:rFonts w:hint="eastAsia" w:ascii="宋体" w:hAnsi="宋体" w:eastAsia="宋体" w:cs="宋体"/>
          <w:sz w:val="22"/>
          <w:highlight w:val="none"/>
        </w:rPr>
        <w:tab/>
      </w:r>
      <w:r>
        <w:rPr>
          <w:rFonts w:hint="eastAsia" w:ascii="宋体" w:hAnsi="宋体" w:eastAsia="宋体" w:cs="宋体"/>
          <w:sz w:val="20"/>
          <w:highlight w:val="none"/>
        </w:rPr>
        <w:t xml:space="preserve"> </w:t>
      </w:r>
    </w:p>
    <w:sdt>
      <w:sdtPr>
        <w:rPr>
          <w:rFonts w:hint="eastAsia" w:ascii="宋体" w:hAnsi="宋体" w:eastAsia="宋体" w:cs="宋体"/>
          <w:b w:val="0"/>
          <w:sz w:val="24"/>
          <w:highlight w:val="none"/>
        </w:rPr>
        <w:id w:val="-966198482"/>
        <w:docPartObj>
          <w:docPartGallery w:val="Table of Contents"/>
          <w:docPartUnique/>
        </w:docPartObj>
      </w:sdtPr>
      <w:sdtEndPr>
        <w:rPr>
          <w:rFonts w:hint="eastAsia" w:ascii="宋体" w:hAnsi="宋体" w:eastAsia="宋体" w:cs="宋体"/>
          <w:b w:val="0"/>
          <w:sz w:val="24"/>
          <w:highlight w:val="none"/>
        </w:rPr>
      </w:sdtEndPr>
      <w:sdtContent>
        <w:p>
          <w:pPr>
            <w:pStyle w:val="7"/>
            <w:tabs>
              <w:tab w:val="right" w:leader="dot" w:pos="9080"/>
            </w:tabs>
            <w:rPr>
              <w:rFonts w:hint="eastAsia" w:ascii="宋体" w:hAnsi="宋体" w:eastAsia="宋体" w:cs="宋体"/>
              <w:b/>
              <w:color w:val="000000"/>
              <w:kern w:val="2"/>
              <w:szCs w:val="22"/>
              <w:highlight w:val="none"/>
              <w:lang w:val="en-US" w:eastAsia="zh-CN" w:bidi="ar-SA"/>
            </w:rPr>
          </w:pPr>
          <w:r>
            <w:rPr>
              <w:rFonts w:hint="eastAsia" w:ascii="宋体" w:hAnsi="宋体" w:eastAsia="宋体" w:cs="宋体"/>
              <w:highlight w:val="none"/>
            </w:rPr>
            <w:fldChar w:fldCharType="begin"/>
          </w:r>
          <w:r>
            <w:rPr>
              <w:rFonts w:hint="eastAsia" w:ascii="宋体" w:hAnsi="宋体" w:eastAsia="宋体" w:cs="宋体"/>
              <w:highlight w:val="none"/>
            </w:rPr>
            <w:instrText xml:space="preserve"> TOC \o "1-1" \h \z \u </w:instrText>
          </w:r>
          <w:r>
            <w:rPr>
              <w:rFonts w:hint="eastAsia" w:ascii="宋体" w:hAnsi="宋体" w:eastAsia="宋体" w:cs="宋体"/>
              <w:highlight w:val="none"/>
            </w:rPr>
            <w:fldChar w:fldCharType="separate"/>
          </w:r>
        </w:p>
        <w:p>
          <w:pPr>
            <w:pStyle w:val="7"/>
            <w:tabs>
              <w:tab w:val="right" w:leader="dot" w:pos="9080"/>
            </w:tabs>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_Toc12992 </w:instrText>
          </w:r>
          <w:r>
            <w:rPr>
              <w:rFonts w:hint="eastAsia" w:ascii="宋体" w:hAnsi="宋体" w:eastAsia="宋体" w:cs="宋体"/>
              <w:highlight w:val="none"/>
            </w:rPr>
            <w:fldChar w:fldCharType="separate"/>
          </w:r>
          <w:r>
            <w:rPr>
              <w:rFonts w:hint="default" w:ascii="Times New Roman" w:hAnsi="Times New Roman" w:eastAsia="Calibri" w:cs="Times New Roman"/>
              <w:bCs/>
              <w:i w:val="0"/>
              <w:strike w:val="0"/>
              <w:dstrike w:val="0"/>
              <w:szCs w:val="24"/>
              <w:shd w:val="clear" w:color="auto" w:fill="auto"/>
              <w:vertAlign w:val="baseline"/>
            </w:rPr>
            <w:t xml:space="preserve">1. </w:t>
          </w:r>
          <w:r>
            <w:rPr>
              <w:rFonts w:hint="eastAsia" w:ascii="宋体" w:hAnsi="宋体" w:eastAsia="宋体" w:cs="宋体"/>
              <w:bCs/>
              <w:highlight w:val="none"/>
            </w:rPr>
            <w:t>一般要求</w:t>
          </w:r>
          <w:r>
            <w:tab/>
          </w:r>
          <w:r>
            <w:fldChar w:fldCharType="begin"/>
          </w:r>
          <w:r>
            <w:instrText xml:space="preserve"> PAGEREF _Toc12992 \h </w:instrText>
          </w:r>
          <w:r>
            <w:fldChar w:fldCharType="separate"/>
          </w:r>
          <w:r>
            <w:t>1</w:t>
          </w:r>
          <w:r>
            <w:fldChar w:fldCharType="end"/>
          </w:r>
          <w:r>
            <w:rPr>
              <w:rFonts w:hint="eastAsia" w:ascii="宋体" w:hAnsi="宋体" w:eastAsia="宋体" w:cs="宋体"/>
              <w:highlight w:val="none"/>
            </w:rPr>
            <w:fldChar w:fldCharType="end"/>
          </w:r>
        </w:p>
        <w:p>
          <w:pPr>
            <w:pStyle w:val="7"/>
            <w:tabs>
              <w:tab w:val="right" w:leader="dot" w:pos="9080"/>
            </w:tabs>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_Toc25984 </w:instrText>
          </w:r>
          <w:r>
            <w:rPr>
              <w:rFonts w:hint="eastAsia" w:ascii="宋体" w:hAnsi="宋体" w:eastAsia="宋体" w:cs="宋体"/>
              <w:highlight w:val="none"/>
            </w:rPr>
            <w:fldChar w:fldCharType="separate"/>
          </w:r>
          <w:r>
            <w:rPr>
              <w:rFonts w:hint="default" w:ascii="Times New Roman" w:hAnsi="Times New Roman" w:eastAsia="Calibri" w:cs="Times New Roman"/>
              <w:bCs/>
              <w:i w:val="0"/>
              <w:strike w:val="0"/>
              <w:dstrike w:val="0"/>
              <w:szCs w:val="24"/>
              <w:shd w:val="clear" w:color="auto" w:fill="auto"/>
              <w:vertAlign w:val="baseline"/>
            </w:rPr>
            <w:t xml:space="preserve">2. </w:t>
          </w:r>
          <w:r>
            <w:rPr>
              <w:rFonts w:hint="eastAsia" w:ascii="宋体" w:hAnsi="宋体" w:eastAsia="宋体" w:cs="宋体"/>
              <w:bCs/>
              <w:highlight w:val="none"/>
            </w:rPr>
            <w:t>与其它单位 / 政府部门的相关工作</w:t>
          </w:r>
          <w:r>
            <w:tab/>
          </w:r>
          <w:r>
            <w:fldChar w:fldCharType="begin"/>
          </w:r>
          <w:r>
            <w:instrText xml:space="preserve"> PAGEREF _Toc25984 \h </w:instrText>
          </w:r>
          <w:r>
            <w:fldChar w:fldCharType="separate"/>
          </w:r>
          <w:r>
            <w:t>5</w:t>
          </w:r>
          <w:r>
            <w:fldChar w:fldCharType="end"/>
          </w:r>
          <w:r>
            <w:rPr>
              <w:rFonts w:hint="eastAsia" w:ascii="宋体" w:hAnsi="宋体" w:eastAsia="宋体" w:cs="宋体"/>
              <w:highlight w:val="none"/>
            </w:rPr>
            <w:fldChar w:fldCharType="end"/>
          </w:r>
        </w:p>
        <w:p>
          <w:pPr>
            <w:pStyle w:val="7"/>
            <w:tabs>
              <w:tab w:val="right" w:leader="dot" w:pos="9080"/>
            </w:tabs>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_Toc12536 </w:instrText>
          </w:r>
          <w:r>
            <w:rPr>
              <w:rFonts w:hint="eastAsia" w:ascii="宋体" w:hAnsi="宋体" w:eastAsia="宋体" w:cs="宋体"/>
              <w:highlight w:val="none"/>
            </w:rPr>
            <w:fldChar w:fldCharType="separate"/>
          </w:r>
          <w:r>
            <w:rPr>
              <w:rFonts w:hint="default" w:ascii="Times New Roman" w:hAnsi="Times New Roman" w:eastAsia="Calibri" w:cs="Times New Roman"/>
              <w:bCs/>
              <w:i w:val="0"/>
              <w:strike w:val="0"/>
              <w:dstrike w:val="0"/>
              <w:szCs w:val="24"/>
              <w:shd w:val="clear" w:color="auto" w:fill="auto"/>
              <w:vertAlign w:val="baseline"/>
            </w:rPr>
            <w:t xml:space="preserve">3. </w:t>
          </w:r>
          <w:r>
            <w:rPr>
              <w:rFonts w:hint="eastAsia" w:ascii="宋体" w:hAnsi="宋体" w:eastAsia="宋体" w:cs="宋体"/>
              <w:bCs/>
              <w:highlight w:val="none"/>
            </w:rPr>
            <w:t>特别要求</w:t>
          </w:r>
          <w:r>
            <w:tab/>
          </w:r>
          <w:r>
            <w:fldChar w:fldCharType="begin"/>
          </w:r>
          <w:r>
            <w:instrText xml:space="preserve"> PAGEREF _Toc12536 \h </w:instrText>
          </w:r>
          <w:r>
            <w:fldChar w:fldCharType="separate"/>
          </w:r>
          <w:r>
            <w:t>13</w:t>
          </w:r>
          <w:r>
            <w:fldChar w:fldCharType="end"/>
          </w:r>
          <w:r>
            <w:rPr>
              <w:rFonts w:hint="eastAsia" w:ascii="宋体" w:hAnsi="宋体" w:eastAsia="宋体" w:cs="宋体"/>
              <w:highlight w:val="none"/>
            </w:rPr>
            <w:fldChar w:fldCharType="end"/>
          </w:r>
        </w:p>
        <w:p>
          <w:pPr>
            <w:pStyle w:val="7"/>
            <w:tabs>
              <w:tab w:val="right" w:leader="dot" w:pos="9080"/>
            </w:tabs>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_Toc24279 </w:instrText>
          </w:r>
          <w:r>
            <w:rPr>
              <w:rFonts w:hint="eastAsia" w:ascii="宋体" w:hAnsi="宋体" w:eastAsia="宋体" w:cs="宋体"/>
              <w:highlight w:val="none"/>
            </w:rPr>
            <w:fldChar w:fldCharType="separate"/>
          </w:r>
          <w:r>
            <w:rPr>
              <w:rFonts w:hint="default" w:ascii="Times New Roman" w:hAnsi="Times New Roman" w:eastAsia="Calibri" w:cs="Times New Roman"/>
              <w:bCs/>
              <w:i w:val="0"/>
              <w:strike w:val="0"/>
              <w:dstrike w:val="0"/>
              <w:szCs w:val="24"/>
              <w:shd w:val="clear" w:color="auto" w:fill="auto"/>
              <w:vertAlign w:val="baseline"/>
            </w:rPr>
            <w:t xml:space="preserve">4. </w:t>
          </w:r>
          <w:r>
            <w:rPr>
              <w:rFonts w:hint="eastAsia" w:ascii="宋体" w:hAnsi="宋体" w:eastAsia="宋体" w:cs="宋体"/>
              <w:bCs/>
              <w:highlight w:val="none"/>
            </w:rPr>
            <w:t>承包单位的设计呈报</w:t>
          </w:r>
          <w:r>
            <w:tab/>
          </w:r>
          <w:r>
            <w:fldChar w:fldCharType="begin"/>
          </w:r>
          <w:r>
            <w:instrText xml:space="preserve"> PAGEREF _Toc24279 \h </w:instrText>
          </w:r>
          <w:r>
            <w:fldChar w:fldCharType="separate"/>
          </w:r>
          <w:r>
            <w:t>15</w:t>
          </w:r>
          <w:r>
            <w:fldChar w:fldCharType="end"/>
          </w:r>
          <w:r>
            <w:rPr>
              <w:rFonts w:hint="eastAsia" w:ascii="宋体" w:hAnsi="宋体" w:eastAsia="宋体" w:cs="宋体"/>
              <w:highlight w:val="none"/>
            </w:rPr>
            <w:fldChar w:fldCharType="end"/>
          </w:r>
        </w:p>
        <w:p>
          <w:pPr>
            <w:pStyle w:val="7"/>
            <w:tabs>
              <w:tab w:val="right" w:leader="dot" w:pos="9080"/>
            </w:tabs>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_Toc12819 </w:instrText>
          </w:r>
          <w:r>
            <w:rPr>
              <w:rFonts w:hint="eastAsia" w:ascii="宋体" w:hAnsi="宋体" w:eastAsia="宋体" w:cs="宋体"/>
              <w:highlight w:val="none"/>
            </w:rPr>
            <w:fldChar w:fldCharType="separate"/>
          </w:r>
          <w:r>
            <w:rPr>
              <w:rFonts w:hint="default" w:ascii="Times New Roman" w:hAnsi="Times New Roman" w:eastAsia="Calibri" w:cs="Times New Roman"/>
              <w:bCs/>
              <w:i w:val="0"/>
              <w:strike w:val="0"/>
              <w:dstrike w:val="0"/>
              <w:szCs w:val="24"/>
              <w:shd w:val="clear" w:color="auto" w:fill="auto"/>
              <w:vertAlign w:val="baseline"/>
            </w:rPr>
            <w:t xml:space="preserve">5. </w:t>
          </w:r>
          <w:r>
            <w:rPr>
              <w:rFonts w:hint="eastAsia" w:ascii="宋体" w:hAnsi="宋体" w:eastAsia="宋体" w:cs="宋体"/>
              <w:bCs/>
              <w:highlight w:val="none"/>
            </w:rPr>
            <w:t>备用件及工具</w:t>
          </w:r>
          <w:r>
            <w:tab/>
          </w:r>
          <w:r>
            <w:fldChar w:fldCharType="begin"/>
          </w:r>
          <w:r>
            <w:instrText xml:space="preserve"> PAGEREF _Toc12819 \h </w:instrText>
          </w:r>
          <w:r>
            <w:fldChar w:fldCharType="separate"/>
          </w:r>
          <w:r>
            <w:t>16</w:t>
          </w:r>
          <w:r>
            <w:fldChar w:fldCharType="end"/>
          </w:r>
          <w:r>
            <w:rPr>
              <w:rFonts w:hint="eastAsia" w:ascii="宋体" w:hAnsi="宋体" w:eastAsia="宋体" w:cs="宋体"/>
              <w:highlight w:val="none"/>
            </w:rPr>
            <w:fldChar w:fldCharType="end"/>
          </w:r>
        </w:p>
        <w:p>
          <w:pPr>
            <w:pStyle w:val="7"/>
            <w:tabs>
              <w:tab w:val="right" w:leader="dot" w:pos="9080"/>
            </w:tabs>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_Toc14532 </w:instrText>
          </w:r>
          <w:r>
            <w:rPr>
              <w:rFonts w:hint="eastAsia" w:ascii="宋体" w:hAnsi="宋体" w:eastAsia="宋体" w:cs="宋体"/>
              <w:highlight w:val="none"/>
            </w:rPr>
            <w:fldChar w:fldCharType="separate"/>
          </w:r>
          <w:r>
            <w:rPr>
              <w:rFonts w:hint="default" w:ascii="Times New Roman" w:hAnsi="Times New Roman" w:eastAsia="Calibri" w:cs="Times New Roman"/>
              <w:bCs/>
              <w:i w:val="0"/>
              <w:strike w:val="0"/>
              <w:dstrike w:val="0"/>
              <w:szCs w:val="24"/>
              <w:shd w:val="clear" w:color="auto" w:fill="auto"/>
              <w:vertAlign w:val="baseline"/>
            </w:rPr>
            <w:t xml:space="preserve">6. </w:t>
          </w:r>
          <w:r>
            <w:rPr>
              <w:rFonts w:hint="eastAsia" w:ascii="宋体" w:hAnsi="宋体" w:eastAsia="宋体" w:cs="宋体"/>
              <w:bCs/>
              <w:highlight w:val="none"/>
            </w:rPr>
            <w:t>人员的培训</w:t>
          </w:r>
          <w:r>
            <w:tab/>
          </w:r>
          <w:r>
            <w:fldChar w:fldCharType="begin"/>
          </w:r>
          <w:r>
            <w:instrText xml:space="preserve"> PAGEREF _Toc14532 \h </w:instrText>
          </w:r>
          <w:r>
            <w:fldChar w:fldCharType="separate"/>
          </w:r>
          <w:r>
            <w:t>17</w:t>
          </w:r>
          <w:r>
            <w:fldChar w:fldCharType="end"/>
          </w:r>
          <w:r>
            <w:rPr>
              <w:rFonts w:hint="eastAsia" w:ascii="宋体" w:hAnsi="宋体" w:eastAsia="宋体" w:cs="宋体"/>
              <w:highlight w:val="none"/>
            </w:rPr>
            <w:fldChar w:fldCharType="end"/>
          </w:r>
        </w:p>
        <w:p>
          <w:pPr>
            <w:pStyle w:val="7"/>
            <w:tabs>
              <w:tab w:val="right" w:pos="2800"/>
              <w:tab w:val="right" w:leader="dot" w:pos="9080"/>
            </w:tabs>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_Toc7857 </w:instrText>
          </w:r>
          <w:r>
            <w:rPr>
              <w:rFonts w:hint="eastAsia" w:ascii="宋体" w:hAnsi="宋体" w:eastAsia="宋体" w:cs="宋体"/>
              <w:highlight w:val="none"/>
            </w:rPr>
            <w:fldChar w:fldCharType="separate"/>
          </w:r>
          <w:r>
            <w:rPr>
              <w:rFonts w:hint="eastAsia" w:ascii="宋体" w:hAnsi="宋体" w:eastAsia="宋体" w:cs="宋体"/>
              <w:bCs/>
              <w:highlight w:val="none"/>
            </w:rPr>
            <w:t xml:space="preserve">附件一 </w:t>
          </w:r>
          <w:r>
            <w:rPr>
              <w:rFonts w:hint="eastAsia" w:ascii="宋体" w:hAnsi="宋体" w:eastAsia="宋体" w:cs="宋体"/>
              <w:bCs/>
              <w:highlight w:val="none"/>
            </w:rPr>
            <w:tab/>
          </w:r>
          <w:r>
            <w:rPr>
              <w:rFonts w:hint="eastAsia" w:ascii="宋体" w:hAnsi="宋体" w:eastAsia="宋体" w:cs="宋体"/>
              <w:bCs/>
              <w:highlight w:val="none"/>
            </w:rPr>
            <w:t xml:space="preserve"> 与电梯施工单位详细界面</w:t>
          </w:r>
          <w:r>
            <w:tab/>
          </w:r>
          <w:r>
            <w:fldChar w:fldCharType="begin"/>
          </w:r>
          <w:r>
            <w:instrText xml:space="preserve"> PAGEREF _Toc7857 \h </w:instrText>
          </w:r>
          <w:r>
            <w:fldChar w:fldCharType="separate"/>
          </w:r>
          <w:r>
            <w:t>1</w:t>
          </w:r>
          <w:r>
            <w:fldChar w:fldCharType="end"/>
          </w:r>
          <w:r>
            <w:rPr>
              <w:rFonts w:hint="eastAsia" w:ascii="宋体" w:hAnsi="宋体" w:eastAsia="宋体" w:cs="宋体"/>
              <w:highlight w:val="none"/>
            </w:rPr>
            <w:fldChar w:fldCharType="end"/>
          </w:r>
        </w:p>
        <w:p>
          <w:pPr>
            <w:pStyle w:val="7"/>
            <w:tabs>
              <w:tab w:val="right" w:leader="dot" w:pos="9080"/>
            </w:tabs>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_Toc19801 </w:instrText>
          </w:r>
          <w:r>
            <w:rPr>
              <w:rFonts w:hint="eastAsia" w:ascii="宋体" w:hAnsi="宋体" w:eastAsia="宋体" w:cs="宋体"/>
              <w:highlight w:val="none"/>
            </w:rPr>
            <w:fldChar w:fldCharType="separate"/>
          </w:r>
          <w:r>
            <w:rPr>
              <w:rFonts w:hint="eastAsia" w:ascii="宋体" w:hAnsi="宋体" w:eastAsia="宋体" w:cs="宋体"/>
              <w:bCs/>
              <w:highlight w:val="none"/>
              <w:lang w:val="en-US" w:eastAsia="zh-CN"/>
            </w:rPr>
            <w:t>附件二 工程界面图</w:t>
          </w:r>
          <w:r>
            <w:tab/>
          </w:r>
          <w:r>
            <w:fldChar w:fldCharType="begin"/>
          </w:r>
          <w:r>
            <w:instrText xml:space="preserve"> PAGEREF _Toc19801 \h </w:instrText>
          </w:r>
          <w:r>
            <w:fldChar w:fldCharType="separate"/>
          </w:r>
          <w:r>
            <w:t>2</w:t>
          </w:r>
          <w:r>
            <w:fldChar w:fldCharType="end"/>
          </w:r>
          <w:r>
            <w:rPr>
              <w:rFonts w:hint="eastAsia" w:ascii="宋体" w:hAnsi="宋体" w:eastAsia="宋体" w:cs="宋体"/>
              <w:highlight w:val="none"/>
            </w:rPr>
            <w:fldChar w:fldCharType="end"/>
          </w:r>
        </w:p>
        <w:p>
          <w:pPr>
            <w:tabs>
              <w:tab w:val="right" w:leader="dot" w:pos="9080"/>
            </w:tabs>
            <w:rPr>
              <w:rFonts w:hint="eastAsia" w:ascii="宋体" w:hAnsi="宋体" w:eastAsia="宋体" w:cs="宋体"/>
              <w:highlight w:val="none"/>
            </w:rPr>
          </w:pPr>
          <w:r>
            <w:rPr>
              <w:rFonts w:hint="eastAsia" w:ascii="宋体" w:hAnsi="宋体" w:eastAsia="宋体" w:cs="宋体"/>
              <w:highlight w:val="none"/>
            </w:rPr>
            <w:fldChar w:fldCharType="end"/>
          </w:r>
        </w:p>
      </w:sdtContent>
    </w:sdt>
    <w:p>
      <w:pPr>
        <w:spacing w:after="0" w:line="259" w:lineRule="auto"/>
        <w:ind w:left="0" w:right="0" w:firstLine="0"/>
        <w:rPr>
          <w:rFonts w:hint="eastAsia" w:ascii="宋体" w:hAnsi="宋体" w:eastAsia="宋体" w:cs="宋体"/>
          <w:highlight w:val="none"/>
        </w:rPr>
      </w:pPr>
      <w:r>
        <w:rPr>
          <w:rFonts w:hint="eastAsia" w:ascii="宋体" w:hAnsi="宋体" w:eastAsia="宋体" w:cs="宋体"/>
          <w:sz w:val="22"/>
          <w:highlight w:val="none"/>
        </w:rPr>
        <w:t xml:space="preserve"> </w:t>
      </w:r>
    </w:p>
    <w:p>
      <w:pPr>
        <w:rPr>
          <w:rFonts w:hint="eastAsia" w:ascii="宋体" w:hAnsi="宋体" w:eastAsia="宋体" w:cs="宋体"/>
          <w:highlight w:val="none"/>
        </w:rPr>
        <w:sectPr>
          <w:headerReference r:id="rId7" w:type="first"/>
          <w:footerReference r:id="rId10" w:type="first"/>
          <w:headerReference r:id="rId5" w:type="default"/>
          <w:footerReference r:id="rId8" w:type="default"/>
          <w:headerReference r:id="rId6" w:type="even"/>
          <w:footerReference r:id="rId9" w:type="even"/>
          <w:pgSz w:w="11909" w:h="16834"/>
          <w:pgMar w:top="1451" w:right="1389" w:bottom="720" w:left="1440" w:header="720" w:footer="720" w:gutter="0"/>
          <w:cols w:space="720" w:num="1"/>
        </w:sectPr>
      </w:pPr>
    </w:p>
    <w:p>
      <w:pPr>
        <w:pStyle w:val="2"/>
        <w:spacing w:after="7"/>
        <w:ind w:left="1310" w:right="8" w:hanging="720"/>
        <w:rPr>
          <w:rFonts w:hint="eastAsia" w:ascii="宋体" w:hAnsi="宋体" w:eastAsia="宋体" w:cs="宋体"/>
          <w:b/>
          <w:bCs/>
          <w:highlight w:val="none"/>
        </w:rPr>
      </w:pPr>
      <w:bookmarkStart w:id="0" w:name="_Toc12992"/>
      <w:r>
        <w:rPr>
          <w:rFonts w:hint="eastAsia" w:ascii="宋体" w:hAnsi="宋体" w:eastAsia="宋体" w:cs="宋体"/>
          <w:b/>
          <w:bCs/>
          <w:highlight w:val="none"/>
        </w:rPr>
        <w:t>一般要求</w:t>
      </w:r>
      <w:bookmarkEnd w:id="0"/>
      <w:r>
        <w:rPr>
          <w:rFonts w:hint="eastAsia" w:ascii="宋体" w:hAnsi="宋体" w:eastAsia="宋体" w:cs="宋体"/>
          <w:b/>
          <w:bCs/>
          <w:highlight w:val="none"/>
        </w:rPr>
        <w:t xml:space="preserve"> </w:t>
      </w:r>
    </w:p>
    <w:p>
      <w:pPr>
        <w:spacing w:after="1" w:line="259" w:lineRule="auto"/>
        <w:ind w:left="965" w:right="0" w:firstLine="0"/>
        <w:rPr>
          <w:rFonts w:hint="eastAsia" w:ascii="宋体" w:hAnsi="宋体" w:eastAsia="宋体" w:cs="宋体"/>
          <w:highlight w:val="none"/>
        </w:rPr>
      </w:pPr>
      <w:r>
        <w:rPr>
          <w:rFonts w:hint="eastAsia" w:ascii="宋体" w:hAnsi="宋体" w:eastAsia="宋体" w:cs="宋体"/>
          <w:highlight w:val="none"/>
        </w:rPr>
        <w:t xml:space="preserve"> </w:t>
      </w:r>
    </w:p>
    <w:p>
      <w:pPr>
        <w:spacing w:after="7"/>
        <w:ind w:left="600" w:right="8"/>
        <w:rPr>
          <w:rFonts w:hint="eastAsia" w:ascii="宋体" w:hAnsi="宋体" w:eastAsia="宋体" w:cs="宋体"/>
          <w:highlight w:val="none"/>
        </w:rPr>
      </w:pPr>
      <w:r>
        <w:rPr>
          <w:rFonts w:hint="eastAsia" w:ascii="宋体" w:hAnsi="宋体" w:eastAsia="宋体" w:cs="宋体"/>
          <w:highlight w:val="none"/>
        </w:rPr>
        <w:t xml:space="preserve">1.1 </w:t>
      </w:r>
      <w:r>
        <w:rPr>
          <w:rFonts w:hint="eastAsia" w:ascii="宋体" w:hAnsi="宋体" w:eastAsia="宋体" w:cs="宋体"/>
          <w:highlight w:val="none"/>
        </w:rPr>
        <w:tab/>
      </w:r>
      <w:r>
        <w:rPr>
          <w:rFonts w:hint="eastAsia" w:ascii="宋体" w:hAnsi="宋体" w:eastAsia="宋体" w:cs="宋体"/>
          <w:highlight w:val="none"/>
        </w:rPr>
        <w:tab/>
      </w:r>
      <w:r>
        <w:rPr>
          <w:rFonts w:hint="eastAsia" w:ascii="宋体" w:hAnsi="宋体" w:eastAsia="宋体" w:cs="宋体"/>
          <w:highlight w:val="none"/>
        </w:rPr>
        <w:t xml:space="preserve">项目简介 </w:t>
      </w:r>
    </w:p>
    <w:p>
      <w:pPr>
        <w:spacing w:after="1" w:line="259" w:lineRule="auto"/>
        <w:ind w:left="692" w:right="0" w:firstLine="0"/>
        <w:rPr>
          <w:rFonts w:hint="eastAsia" w:ascii="宋体" w:hAnsi="宋体" w:eastAsia="宋体" w:cs="宋体"/>
          <w:highlight w:val="none"/>
        </w:rPr>
      </w:pPr>
      <w:r>
        <w:rPr>
          <w:rFonts w:hint="eastAsia" w:ascii="宋体" w:hAnsi="宋体" w:eastAsia="宋体" w:cs="宋体"/>
          <w:highlight w:val="none"/>
        </w:rPr>
        <w:t xml:space="preserve"> </w:t>
      </w:r>
    </w:p>
    <w:p>
      <w:pPr>
        <w:spacing w:after="7"/>
        <w:ind w:left="600" w:right="8"/>
        <w:rPr>
          <w:rFonts w:hint="eastAsia" w:ascii="宋体" w:hAnsi="宋体" w:eastAsia="宋体" w:cs="宋体"/>
          <w:highlight w:val="none"/>
        </w:rPr>
      </w:pPr>
      <w:r>
        <w:rPr>
          <w:rFonts w:hint="eastAsia" w:ascii="宋体" w:hAnsi="宋体" w:eastAsia="宋体" w:cs="宋体"/>
          <w:highlight w:val="none"/>
        </w:rPr>
        <w:t xml:space="preserve">1.2 </w:t>
      </w:r>
      <w:r>
        <w:rPr>
          <w:rFonts w:hint="eastAsia" w:ascii="宋体" w:hAnsi="宋体" w:eastAsia="宋体" w:cs="宋体"/>
          <w:highlight w:val="none"/>
        </w:rPr>
        <w:tab/>
      </w:r>
      <w:r>
        <w:rPr>
          <w:rFonts w:hint="eastAsia" w:ascii="宋体" w:hAnsi="宋体" w:eastAsia="宋体" w:cs="宋体"/>
          <w:highlight w:val="none"/>
        </w:rPr>
        <w:tab/>
      </w:r>
      <w:r>
        <w:rPr>
          <w:rFonts w:hint="eastAsia" w:ascii="宋体" w:hAnsi="宋体" w:eastAsia="宋体" w:cs="宋体"/>
          <w:highlight w:val="none"/>
        </w:rPr>
        <w:t xml:space="preserve">工程范围 </w:t>
      </w:r>
    </w:p>
    <w:p>
      <w:pPr>
        <w:spacing w:after="0" w:line="259" w:lineRule="auto"/>
        <w:ind w:left="1685" w:right="0" w:firstLine="0"/>
        <w:rPr>
          <w:rFonts w:hint="eastAsia" w:ascii="宋体" w:hAnsi="宋体" w:eastAsia="宋体" w:cs="宋体"/>
          <w:highlight w:val="none"/>
        </w:rPr>
      </w:pPr>
      <w:r>
        <w:rPr>
          <w:rFonts w:hint="eastAsia" w:ascii="宋体" w:hAnsi="宋体" w:eastAsia="宋体" w:cs="宋体"/>
          <w:highlight w:val="none"/>
        </w:rPr>
        <w:t xml:space="preserve"> </w:t>
      </w:r>
    </w:p>
    <w:p>
      <w:pPr>
        <w:spacing w:after="0"/>
        <w:ind w:left="1608" w:right="8"/>
        <w:rPr>
          <w:rFonts w:hint="eastAsia" w:ascii="宋体" w:hAnsi="宋体" w:eastAsia="宋体" w:cs="宋体"/>
          <w:highlight w:val="none"/>
        </w:rPr>
      </w:pPr>
      <w:r>
        <w:rPr>
          <w:rFonts w:hint="eastAsia" w:ascii="宋体" w:hAnsi="宋体" w:eastAsia="宋体" w:cs="宋体"/>
          <w:highlight w:val="none"/>
        </w:rPr>
        <w:t xml:space="preserve">本工程范围及界面描述，与商务招标文件要求互为补充，如有冲突，以本招标文件要求为准。 </w:t>
      </w:r>
    </w:p>
    <w:p>
      <w:pPr>
        <w:spacing w:after="3" w:line="259" w:lineRule="auto"/>
        <w:ind w:left="1685" w:right="0" w:firstLine="0"/>
        <w:rPr>
          <w:rFonts w:hint="eastAsia" w:ascii="宋体" w:hAnsi="宋体" w:eastAsia="宋体" w:cs="宋体"/>
          <w:highlight w:val="none"/>
        </w:rPr>
      </w:pPr>
      <w:r>
        <w:rPr>
          <w:rFonts w:hint="eastAsia" w:ascii="宋体" w:hAnsi="宋体" w:eastAsia="宋体" w:cs="宋体"/>
          <w:highlight w:val="none"/>
        </w:rPr>
        <w:t xml:space="preserve"> </w:t>
      </w:r>
    </w:p>
    <w:p>
      <w:pPr>
        <w:spacing w:after="0"/>
        <w:ind w:left="1584" w:right="8" w:hanging="994"/>
        <w:rPr>
          <w:rFonts w:hint="eastAsia" w:ascii="宋体" w:hAnsi="宋体" w:eastAsia="宋体" w:cs="宋体"/>
          <w:highlight w:val="none"/>
        </w:rPr>
      </w:pPr>
      <w:r>
        <w:rPr>
          <w:rFonts w:hint="eastAsia" w:ascii="宋体" w:hAnsi="宋体" w:eastAsia="宋体" w:cs="宋体"/>
          <w:highlight w:val="none"/>
        </w:rPr>
        <w:t xml:space="preserve">1.2.1 </w:t>
      </w:r>
      <w:r>
        <w:rPr>
          <w:rFonts w:hint="eastAsia" w:ascii="宋体" w:hAnsi="宋体" w:eastAsia="宋体" w:cs="宋体"/>
          <w:highlight w:val="none"/>
        </w:rPr>
        <w:tab/>
      </w:r>
      <w:r>
        <w:rPr>
          <w:rFonts w:hint="eastAsia" w:ascii="宋体" w:hAnsi="宋体" w:eastAsia="宋体" w:cs="宋体"/>
          <w:highlight w:val="none"/>
        </w:rPr>
        <w:t xml:space="preserve">应包括为实现智能化系统正确运行所必须的全部材料及设备，这不仅包括己指明的设备及装置，也包括全部的用于完善施工和关于正常操作测试和运转的各项的必须组件，以及为了安装这些组件的劳务费用，而不论是否在合同文件中详细列明。承包单位须按照合约图纸所示和智能化系统技术规格说明书内所列出的要求，提供智能化系统的设计、呈交深化施工图审批、呈交材料设备样本供工程师审批、呈交施工及运输方案、并包括订购、制造、申报海关和办妥所有海关手续、提供保险、运送工地、拆卸、储存、协调、安装、安全保护、测试、试运转和维修等各项工作要求，直至正式移交给业主使用。并包括完工时呈交操作及维修手册、竣工图纸及提供对业主技术人员的培训。 </w:t>
      </w:r>
    </w:p>
    <w:p>
      <w:pPr>
        <w:spacing w:after="3" w:line="259" w:lineRule="auto"/>
        <w:ind w:left="692" w:right="0" w:firstLine="0"/>
        <w:rPr>
          <w:rFonts w:hint="eastAsia" w:ascii="宋体" w:hAnsi="宋体" w:eastAsia="宋体" w:cs="宋体"/>
          <w:highlight w:val="none"/>
        </w:rPr>
      </w:pPr>
      <w:r>
        <w:rPr>
          <w:rFonts w:hint="eastAsia" w:ascii="宋体" w:hAnsi="宋体" w:eastAsia="宋体" w:cs="宋体"/>
          <w:highlight w:val="none"/>
        </w:rPr>
        <w:t xml:space="preserve"> </w:t>
      </w:r>
    </w:p>
    <w:p>
      <w:pPr>
        <w:spacing w:after="0"/>
        <w:ind w:left="1584" w:right="8" w:hanging="994"/>
        <w:rPr>
          <w:rFonts w:hint="eastAsia" w:ascii="宋体" w:hAnsi="宋体" w:eastAsia="宋体" w:cs="宋体"/>
          <w:highlight w:val="none"/>
        </w:rPr>
      </w:pPr>
      <w:r>
        <w:rPr>
          <w:rFonts w:hint="eastAsia" w:ascii="宋体" w:hAnsi="宋体" w:eastAsia="宋体" w:cs="宋体"/>
          <w:highlight w:val="none"/>
        </w:rPr>
        <w:t xml:space="preserve">1.2.2 </w:t>
      </w:r>
      <w:r>
        <w:rPr>
          <w:rFonts w:hint="eastAsia" w:ascii="宋体" w:hAnsi="宋体" w:eastAsia="宋体" w:cs="宋体"/>
          <w:highlight w:val="none"/>
        </w:rPr>
        <w:tab/>
      </w:r>
      <w:r>
        <w:rPr>
          <w:rFonts w:hint="eastAsia" w:ascii="宋体" w:hAnsi="宋体" w:eastAsia="宋体" w:cs="宋体"/>
          <w:highlight w:val="none"/>
        </w:rPr>
        <w:t xml:space="preserve">承包单位对技术规格说明书或招标图纸的任何细则、尺寸或材料提出改动建议，可以将建议提出于技术规格说明书内，或招标图纸的空白部份。设备材料尺寸与招标文件要求的尺寸有差别时，于交回投标书时提出。招标图纸只表示要求的细节和尺寸，但是对于尺寸或细节的准确性，承包单位必须在招标阶段进行核实，以不影响机电房尺寸、建筑景观、结构的完整或整体工程的安全，提出修改建议，但所有增加的费用须由承包单位承担。承包单位还需在施工的过程中进行监察，确保工程的合理性及满足招标文件的要求。 </w:t>
      </w:r>
    </w:p>
    <w:p>
      <w:pPr>
        <w:spacing w:after="3" w:line="259" w:lineRule="auto"/>
        <w:ind w:left="692" w:right="0" w:firstLine="0"/>
        <w:rPr>
          <w:rFonts w:hint="eastAsia" w:ascii="宋体" w:hAnsi="宋体" w:eastAsia="宋体" w:cs="宋体"/>
          <w:highlight w:val="none"/>
        </w:rPr>
      </w:pPr>
      <w:r>
        <w:rPr>
          <w:rFonts w:hint="eastAsia" w:ascii="宋体" w:hAnsi="宋体" w:eastAsia="宋体" w:cs="宋体"/>
          <w:highlight w:val="none"/>
        </w:rPr>
        <w:t xml:space="preserve"> </w:t>
      </w:r>
    </w:p>
    <w:p>
      <w:pPr>
        <w:spacing w:after="6"/>
        <w:ind w:left="1584" w:right="8" w:hanging="994"/>
        <w:rPr>
          <w:rFonts w:hint="eastAsia" w:ascii="宋体" w:hAnsi="宋体" w:eastAsia="宋体" w:cs="宋体"/>
          <w:highlight w:val="none"/>
        </w:rPr>
      </w:pPr>
      <w:r>
        <w:rPr>
          <w:rFonts w:hint="eastAsia" w:ascii="宋体" w:hAnsi="宋体" w:eastAsia="宋体" w:cs="宋体"/>
          <w:highlight w:val="none"/>
        </w:rPr>
        <w:t xml:space="preserve">1.2.3 </w:t>
      </w:r>
      <w:r>
        <w:rPr>
          <w:rFonts w:hint="eastAsia" w:ascii="宋体" w:hAnsi="宋体" w:eastAsia="宋体" w:cs="宋体"/>
          <w:highlight w:val="none"/>
        </w:rPr>
        <w:tab/>
      </w:r>
      <w:r>
        <w:rPr>
          <w:rFonts w:hint="eastAsia" w:ascii="宋体" w:hAnsi="宋体" w:eastAsia="宋体" w:cs="宋体"/>
          <w:highlight w:val="none"/>
        </w:rPr>
        <w:t xml:space="preserve">工作过程中若任何与建筑相关并须向有关政府部门申请豁免时，承包单位须负责提交所有需要的资料及承担一切有关费用于标价内。 </w:t>
      </w:r>
    </w:p>
    <w:p>
      <w:pPr>
        <w:spacing w:after="3" w:line="259" w:lineRule="auto"/>
        <w:ind w:left="692" w:right="0" w:firstLine="0"/>
        <w:rPr>
          <w:rFonts w:hint="eastAsia" w:ascii="宋体" w:hAnsi="宋体" w:eastAsia="宋体" w:cs="宋体"/>
          <w:highlight w:val="none"/>
        </w:rPr>
      </w:pPr>
      <w:r>
        <w:rPr>
          <w:rFonts w:hint="eastAsia" w:ascii="宋体" w:hAnsi="宋体" w:eastAsia="宋体" w:cs="宋体"/>
          <w:highlight w:val="none"/>
        </w:rPr>
        <w:t xml:space="preserve"> </w:t>
      </w:r>
    </w:p>
    <w:p>
      <w:pPr>
        <w:spacing w:after="0"/>
        <w:ind w:left="1584" w:right="8" w:hanging="994"/>
        <w:rPr>
          <w:rFonts w:hint="eastAsia" w:ascii="宋体" w:hAnsi="宋体" w:eastAsia="宋体" w:cs="宋体"/>
          <w:highlight w:val="none"/>
        </w:rPr>
      </w:pPr>
      <w:r>
        <w:rPr>
          <w:rFonts w:hint="eastAsia" w:ascii="宋体" w:hAnsi="宋体" w:eastAsia="宋体" w:cs="宋体"/>
          <w:highlight w:val="none"/>
        </w:rPr>
        <w:t xml:space="preserve">1.2.4 </w:t>
      </w:r>
      <w:r>
        <w:rPr>
          <w:rFonts w:hint="eastAsia" w:ascii="宋体" w:hAnsi="宋体" w:eastAsia="宋体" w:cs="宋体"/>
          <w:highlight w:val="none"/>
        </w:rPr>
        <w:tab/>
      </w:r>
      <w:r>
        <w:rPr>
          <w:rFonts w:hint="eastAsia" w:ascii="宋体" w:hAnsi="宋体" w:eastAsia="宋体" w:cs="宋体"/>
          <w:highlight w:val="none"/>
        </w:rPr>
        <w:t xml:space="preserve">承包单位必须与其它承包单位协调，并尽早提交所有需要总承包单位及市政部门、空调、供配电、给排水、消防、电梯、水景、景观照明、幕墙、精装修、医院专用系统单位等承包单位进行协调的工作资料，时间不能超过总承包单位在有关部分进行施工开始前一个月，或按施工进度要求提出的合理时间。所有线槽、孔洞、管井、供电、通风、通道及其它资料，应能在工程开展时及时预留或建造。 </w:t>
      </w:r>
    </w:p>
    <w:p>
      <w:pPr>
        <w:spacing w:after="3" w:line="259" w:lineRule="auto"/>
        <w:ind w:left="692" w:right="0" w:firstLine="0"/>
        <w:rPr>
          <w:rFonts w:hint="eastAsia" w:ascii="宋体" w:hAnsi="宋体" w:eastAsia="宋体" w:cs="宋体"/>
          <w:highlight w:val="none"/>
        </w:rPr>
      </w:pPr>
      <w:r>
        <w:rPr>
          <w:rFonts w:hint="eastAsia" w:ascii="宋体" w:hAnsi="宋体" w:eastAsia="宋体" w:cs="宋体"/>
          <w:highlight w:val="none"/>
        </w:rPr>
        <w:t xml:space="preserve"> </w:t>
      </w:r>
    </w:p>
    <w:p>
      <w:pPr>
        <w:spacing w:after="0"/>
        <w:ind w:left="1583" w:right="8" w:hanging="993"/>
        <w:rPr>
          <w:rFonts w:hint="eastAsia" w:ascii="宋体" w:hAnsi="宋体" w:eastAsia="宋体" w:cs="宋体"/>
          <w:highlight w:val="none"/>
        </w:rPr>
      </w:pPr>
      <w:r>
        <w:rPr>
          <w:rFonts w:hint="eastAsia" w:ascii="宋体" w:hAnsi="宋体" w:eastAsia="宋体" w:cs="宋体"/>
          <w:highlight w:val="none"/>
        </w:rPr>
        <w:t xml:space="preserve">1.2.5 </w:t>
      </w:r>
      <w:r>
        <w:rPr>
          <w:rFonts w:hint="eastAsia" w:ascii="宋体" w:hAnsi="宋体" w:eastAsia="宋体" w:cs="宋体"/>
          <w:highlight w:val="none"/>
        </w:rPr>
        <w:tab/>
      </w:r>
      <w:r>
        <w:rPr>
          <w:rFonts w:hint="eastAsia" w:ascii="宋体" w:hAnsi="宋体" w:eastAsia="宋体" w:cs="宋体"/>
          <w:highlight w:val="none"/>
        </w:rPr>
        <w:t xml:space="preserve">于工地现场的土建工作已陆续展开时，为配合有关机电系统的安装，总承包单位在建筑方面己预留部份设施，包括各机电用房及地下室的机电系统管线墙体套管及楼板孔洞预留等，并包括当智能化承包单位仍未进场时，协助及提供一切有关结构洞预留及套管预埋设施。因未经相关机电分包单位协调，所以预留设施其大小、数量或位置未必完善；本承包单位议标前宜作一实地考察，将需要添加或修改之工作提出并包括在标价内，否则日后一切所需之土建改动，需由承包单位负责。 </w:t>
      </w:r>
    </w:p>
    <w:p>
      <w:pPr>
        <w:spacing w:after="0" w:line="259" w:lineRule="auto"/>
        <w:ind w:left="1685" w:right="0" w:firstLine="0"/>
        <w:rPr>
          <w:rFonts w:hint="eastAsia" w:ascii="宋体" w:hAnsi="宋体" w:eastAsia="宋体" w:cs="宋体"/>
          <w:highlight w:val="none"/>
        </w:rPr>
      </w:pPr>
      <w:r>
        <w:rPr>
          <w:rFonts w:hint="eastAsia" w:ascii="宋体" w:hAnsi="宋体" w:eastAsia="宋体" w:cs="宋体"/>
          <w:highlight w:val="none"/>
        </w:rPr>
        <w:t xml:space="preserve"> </w:t>
      </w:r>
    </w:p>
    <w:p>
      <w:pPr>
        <w:spacing w:after="7"/>
        <w:ind w:left="600" w:right="8"/>
        <w:rPr>
          <w:rFonts w:hint="eastAsia" w:ascii="宋体" w:hAnsi="宋体" w:eastAsia="宋体" w:cs="宋体"/>
          <w:highlight w:val="none"/>
        </w:rPr>
      </w:pPr>
      <w:r>
        <w:rPr>
          <w:rFonts w:hint="eastAsia" w:ascii="宋体" w:hAnsi="宋体" w:eastAsia="宋体" w:cs="宋体"/>
          <w:highlight w:val="none"/>
        </w:rPr>
        <w:t xml:space="preserve">1.2.6 </w:t>
      </w:r>
      <w:r>
        <w:rPr>
          <w:rFonts w:hint="eastAsia" w:ascii="宋体" w:hAnsi="宋体" w:eastAsia="宋体" w:cs="宋体"/>
          <w:highlight w:val="none"/>
        </w:rPr>
        <w:tab/>
      </w:r>
      <w:r>
        <w:rPr>
          <w:rFonts w:hint="eastAsia" w:ascii="宋体" w:hAnsi="宋体" w:eastAsia="宋体" w:cs="宋体"/>
          <w:highlight w:val="none"/>
        </w:rPr>
        <w:t>承包单位报价须考虑采取一切必要措施及设备，保证某一区域智能化系统设</w:t>
      </w:r>
    </w:p>
    <w:p>
      <w:pPr>
        <w:spacing w:after="7"/>
        <w:ind w:left="1608" w:right="8"/>
        <w:rPr>
          <w:rFonts w:hint="eastAsia" w:ascii="宋体" w:hAnsi="宋体" w:eastAsia="宋体" w:cs="宋体"/>
          <w:highlight w:val="none"/>
        </w:rPr>
      </w:pPr>
      <w:r>
        <w:rPr>
          <w:rFonts w:hint="eastAsia" w:ascii="宋体" w:hAnsi="宋体" w:eastAsia="宋体" w:cs="宋体"/>
          <w:highlight w:val="none"/>
        </w:rPr>
        <w:t xml:space="preserve">备的更换及检修时，不影响其它区域智能化系统及设备的正常运行。 </w:t>
      </w:r>
    </w:p>
    <w:p>
      <w:pPr>
        <w:spacing w:after="3" w:line="259" w:lineRule="auto"/>
        <w:ind w:left="1685" w:right="0" w:firstLine="0"/>
        <w:rPr>
          <w:rFonts w:hint="eastAsia" w:ascii="宋体" w:hAnsi="宋体" w:eastAsia="宋体" w:cs="宋体"/>
          <w:highlight w:val="none"/>
        </w:rPr>
      </w:pPr>
      <w:r>
        <w:rPr>
          <w:rFonts w:hint="eastAsia" w:ascii="宋体" w:hAnsi="宋体" w:eastAsia="宋体" w:cs="宋体"/>
          <w:highlight w:val="none"/>
        </w:rPr>
        <w:t xml:space="preserve"> </w:t>
      </w:r>
    </w:p>
    <w:p>
      <w:pPr>
        <w:spacing w:after="7"/>
        <w:ind w:left="600" w:right="8"/>
        <w:rPr>
          <w:rFonts w:hint="eastAsia" w:ascii="宋体" w:hAnsi="宋体" w:eastAsia="宋体" w:cs="宋体"/>
          <w:highlight w:val="none"/>
        </w:rPr>
      </w:pPr>
      <w:r>
        <w:rPr>
          <w:rFonts w:hint="eastAsia" w:ascii="宋体" w:hAnsi="宋体" w:eastAsia="宋体" w:cs="宋体"/>
          <w:highlight w:val="none"/>
        </w:rPr>
        <w:t xml:space="preserve">1.2.7 </w:t>
      </w:r>
      <w:r>
        <w:rPr>
          <w:rFonts w:hint="eastAsia" w:ascii="宋体" w:hAnsi="宋体" w:eastAsia="宋体" w:cs="宋体"/>
          <w:highlight w:val="none"/>
        </w:rPr>
        <w:tab/>
      </w:r>
      <w:r>
        <w:rPr>
          <w:rFonts w:hint="eastAsia" w:ascii="宋体" w:hAnsi="宋体" w:eastAsia="宋体" w:cs="宋体"/>
          <w:highlight w:val="none"/>
        </w:rPr>
        <w:t>按招标图纸及本技术规格说明书提供的设备及材料，应包括所有进口税、增</w:t>
      </w:r>
    </w:p>
    <w:p>
      <w:pPr>
        <w:spacing w:after="7"/>
        <w:ind w:left="1608" w:right="8"/>
        <w:rPr>
          <w:rFonts w:hint="eastAsia" w:ascii="宋体" w:hAnsi="宋体" w:eastAsia="宋体" w:cs="宋体"/>
          <w:highlight w:val="none"/>
        </w:rPr>
      </w:pPr>
      <w:r>
        <w:rPr>
          <w:rFonts w:hint="eastAsia" w:ascii="宋体" w:hAnsi="宋体" w:eastAsia="宋体" w:cs="宋体"/>
          <w:highlight w:val="none"/>
        </w:rPr>
        <w:t xml:space="preserve">值税等相关之税项及费用于标价内。 </w:t>
      </w:r>
    </w:p>
    <w:p>
      <w:pPr>
        <w:spacing w:after="3" w:line="259" w:lineRule="auto"/>
        <w:ind w:left="1685" w:right="0" w:firstLine="0"/>
        <w:rPr>
          <w:rFonts w:hint="eastAsia" w:ascii="宋体" w:hAnsi="宋体" w:eastAsia="宋体" w:cs="宋体"/>
          <w:highlight w:val="none"/>
        </w:rPr>
      </w:pPr>
      <w:r>
        <w:rPr>
          <w:rFonts w:hint="eastAsia" w:ascii="宋体" w:hAnsi="宋体" w:eastAsia="宋体" w:cs="宋体"/>
          <w:highlight w:val="none"/>
        </w:rPr>
        <w:t xml:space="preserve"> </w:t>
      </w:r>
    </w:p>
    <w:p>
      <w:pPr>
        <w:spacing w:after="9"/>
        <w:ind w:left="1670" w:right="8" w:hanging="1080"/>
        <w:rPr>
          <w:rFonts w:hint="eastAsia" w:ascii="宋体" w:hAnsi="宋体" w:eastAsia="宋体" w:cs="宋体"/>
          <w:highlight w:val="none"/>
        </w:rPr>
      </w:pPr>
      <w:r>
        <w:rPr>
          <w:rFonts w:hint="eastAsia" w:ascii="宋体" w:hAnsi="宋体" w:eastAsia="宋体" w:cs="宋体"/>
          <w:highlight w:val="none"/>
        </w:rPr>
        <w:t xml:space="preserve">1.2.8 </w:t>
      </w:r>
      <w:r>
        <w:rPr>
          <w:rFonts w:hint="eastAsia" w:ascii="宋体" w:hAnsi="宋体" w:eastAsia="宋体" w:cs="宋体"/>
          <w:highlight w:val="none"/>
        </w:rPr>
        <w:tab/>
      </w:r>
      <w:r>
        <w:rPr>
          <w:rFonts w:hint="eastAsia" w:ascii="宋体" w:hAnsi="宋体" w:eastAsia="宋体" w:cs="宋体"/>
          <w:highlight w:val="none"/>
        </w:rPr>
        <w:t xml:space="preserve">承包单位需配合提供第三方检测所需的设备及材料（如防静电地板、电线电缆等），费用包含于标价内。 </w:t>
      </w:r>
    </w:p>
    <w:p>
      <w:pPr>
        <w:spacing w:after="9"/>
        <w:ind w:left="1670" w:right="8" w:hanging="1080"/>
        <w:rPr>
          <w:rFonts w:hint="eastAsia" w:ascii="宋体" w:hAnsi="宋体" w:eastAsia="宋体" w:cs="宋体"/>
          <w:highlight w:val="none"/>
        </w:rPr>
      </w:pPr>
    </w:p>
    <w:p>
      <w:pPr>
        <w:spacing w:after="6"/>
        <w:ind w:left="1670" w:right="8" w:hanging="1080"/>
        <w:rPr>
          <w:rFonts w:hint="eastAsia" w:ascii="宋体" w:hAnsi="宋体" w:eastAsia="宋体" w:cs="宋体"/>
          <w:highlight w:val="none"/>
        </w:rPr>
      </w:pPr>
      <w:r>
        <w:rPr>
          <w:rFonts w:hint="eastAsia" w:ascii="宋体" w:hAnsi="宋体" w:eastAsia="宋体" w:cs="宋体"/>
          <w:highlight w:val="none"/>
        </w:rPr>
        <w:t xml:space="preserve">1.2.9 </w:t>
      </w:r>
      <w:r>
        <w:rPr>
          <w:rFonts w:hint="eastAsia" w:ascii="宋体" w:hAnsi="宋体" w:eastAsia="宋体" w:cs="宋体"/>
          <w:highlight w:val="none"/>
        </w:rPr>
        <w:tab/>
      </w:r>
      <w:r>
        <w:rPr>
          <w:rFonts w:hint="eastAsia" w:ascii="宋体" w:hAnsi="宋体" w:eastAsia="宋体" w:cs="宋体"/>
          <w:highlight w:val="none"/>
        </w:rPr>
        <w:t xml:space="preserve">竣工验收前，承包单位需委托有资质的第三方对智能化系统进行整体检测，并提供工程检测报告，所需费用包含于标价内。 </w:t>
      </w:r>
    </w:p>
    <w:p>
      <w:pPr>
        <w:spacing w:after="3" w:line="259" w:lineRule="auto"/>
        <w:ind w:left="1685" w:right="0" w:firstLine="0"/>
        <w:rPr>
          <w:rFonts w:hint="eastAsia" w:ascii="宋体" w:hAnsi="宋体" w:eastAsia="宋体" w:cs="宋体"/>
          <w:highlight w:val="none"/>
        </w:rPr>
      </w:pPr>
      <w:r>
        <w:rPr>
          <w:rFonts w:hint="eastAsia" w:ascii="宋体" w:hAnsi="宋体" w:eastAsia="宋体" w:cs="宋体"/>
          <w:highlight w:val="none"/>
        </w:rPr>
        <w:t xml:space="preserve"> </w:t>
      </w:r>
    </w:p>
    <w:p>
      <w:pPr>
        <w:spacing w:after="5"/>
        <w:ind w:left="1584" w:right="8" w:hanging="994"/>
        <w:rPr>
          <w:rFonts w:hint="eastAsia" w:ascii="宋体" w:hAnsi="宋体" w:eastAsia="宋体" w:cs="宋体"/>
          <w:highlight w:val="none"/>
        </w:rPr>
      </w:pPr>
      <w:r>
        <w:rPr>
          <w:rFonts w:hint="eastAsia" w:ascii="宋体" w:hAnsi="宋体" w:eastAsia="宋体" w:cs="宋体"/>
          <w:highlight w:val="none"/>
        </w:rPr>
        <w:t xml:space="preserve">1.2.10 </w:t>
      </w:r>
      <w:r>
        <w:rPr>
          <w:rFonts w:hint="eastAsia" w:ascii="宋体" w:hAnsi="宋体" w:eastAsia="宋体" w:cs="宋体"/>
          <w:highlight w:val="none"/>
        </w:rPr>
        <w:tab/>
      </w:r>
      <w:r>
        <w:rPr>
          <w:rFonts w:hint="eastAsia" w:ascii="宋体" w:hAnsi="宋体" w:eastAsia="宋体" w:cs="宋体"/>
          <w:highlight w:val="none"/>
        </w:rPr>
        <w:t xml:space="preserve">竣工验收时所有用于申领批准的第三方检测（如无委会的检测测试等）的费用，包含于标价内。 </w:t>
      </w:r>
    </w:p>
    <w:p>
      <w:pPr>
        <w:spacing w:after="0" w:line="259" w:lineRule="auto"/>
        <w:ind w:left="965" w:right="0" w:firstLine="0"/>
        <w:rPr>
          <w:rFonts w:hint="eastAsia" w:ascii="宋体" w:hAnsi="宋体" w:eastAsia="宋体" w:cs="宋体"/>
          <w:highlight w:val="none"/>
        </w:rPr>
      </w:pPr>
      <w:r>
        <w:rPr>
          <w:rFonts w:hint="eastAsia" w:ascii="宋体" w:hAnsi="宋体" w:eastAsia="宋体" w:cs="宋体"/>
          <w:highlight w:val="none"/>
        </w:rPr>
        <w:t xml:space="preserve"> </w:t>
      </w:r>
    </w:p>
    <w:p>
      <w:pPr>
        <w:spacing w:after="5"/>
        <w:ind w:left="1584" w:right="8" w:hanging="994"/>
        <w:rPr>
          <w:rFonts w:hint="eastAsia" w:ascii="宋体" w:hAnsi="宋体" w:eastAsia="宋体" w:cs="宋体"/>
          <w:highlight w:val="none"/>
        </w:rPr>
      </w:pPr>
      <w:r>
        <w:rPr>
          <w:rFonts w:hint="eastAsia" w:ascii="宋体" w:hAnsi="宋体" w:eastAsia="宋体" w:cs="宋体"/>
          <w:highlight w:val="none"/>
        </w:rPr>
        <w:t xml:space="preserve">1.2.11 </w:t>
      </w:r>
      <w:r>
        <w:rPr>
          <w:rFonts w:hint="eastAsia" w:ascii="宋体" w:hAnsi="宋体" w:eastAsia="宋体" w:cs="宋体"/>
          <w:highlight w:val="none"/>
        </w:rPr>
        <w:tab/>
      </w:r>
      <w:r>
        <w:rPr>
          <w:rFonts w:hint="eastAsia" w:ascii="宋体" w:hAnsi="宋体" w:eastAsia="宋体" w:cs="宋体"/>
          <w:highlight w:val="none"/>
        </w:rPr>
        <w:tab/>
      </w:r>
      <w:r>
        <w:rPr>
          <w:rFonts w:hint="eastAsia" w:ascii="宋体" w:hAnsi="宋体" w:eastAsia="宋体" w:cs="宋体"/>
          <w:highlight w:val="none"/>
        </w:rPr>
        <w:t xml:space="preserve">相关服务 </w:t>
      </w:r>
    </w:p>
    <w:p>
      <w:pPr>
        <w:spacing w:after="3" w:line="259" w:lineRule="auto"/>
        <w:ind w:left="1685" w:right="0" w:firstLine="0"/>
        <w:rPr>
          <w:rFonts w:hint="eastAsia" w:ascii="宋体" w:hAnsi="宋体" w:eastAsia="宋体" w:cs="宋体"/>
          <w:highlight w:val="none"/>
        </w:rPr>
      </w:pPr>
      <w:r>
        <w:rPr>
          <w:rFonts w:hint="eastAsia" w:ascii="宋体" w:hAnsi="宋体" w:eastAsia="宋体" w:cs="宋体"/>
          <w:highlight w:val="none"/>
        </w:rPr>
        <w:t xml:space="preserve"> </w:t>
      </w:r>
    </w:p>
    <w:p>
      <w:pPr>
        <w:ind w:left="1580" w:right="8" w:hanging="990"/>
        <w:rPr>
          <w:rFonts w:hint="eastAsia" w:ascii="宋体" w:hAnsi="宋体" w:eastAsia="宋体" w:cs="宋体"/>
          <w:highlight w:val="none"/>
        </w:rPr>
      </w:pPr>
      <w:r>
        <w:rPr>
          <w:rFonts w:hint="eastAsia" w:ascii="宋体" w:hAnsi="宋体" w:eastAsia="宋体" w:cs="宋体"/>
          <w:highlight w:val="none"/>
        </w:rPr>
        <w:t xml:space="preserve">1.2.11.1 </w:t>
      </w:r>
      <w:r>
        <w:rPr>
          <w:rFonts w:hint="eastAsia" w:ascii="宋体" w:hAnsi="宋体" w:eastAsia="宋体" w:cs="宋体"/>
          <w:highlight w:val="none"/>
        </w:rPr>
        <w:tab/>
      </w:r>
      <w:r>
        <w:rPr>
          <w:rFonts w:hint="eastAsia" w:ascii="宋体" w:hAnsi="宋体" w:eastAsia="宋体" w:cs="宋体"/>
          <w:highlight w:val="none"/>
        </w:rPr>
        <w:t xml:space="preserve">本承包单位应提供完整的智能化系统供配电装置，包括线槽、线管、由主电源开关分支到各智能化系统的相关设备。供配电专业将提供双回路电源至消防/安保控制室、网络机房配电箱，配电箱之后之一切供配电工作包括 UPS及配电箱等均包括在本次合约范围内。 </w:t>
      </w:r>
    </w:p>
    <w:p>
      <w:pPr>
        <w:ind w:left="1580" w:right="8" w:hanging="990"/>
        <w:rPr>
          <w:rFonts w:hint="eastAsia" w:ascii="宋体" w:hAnsi="宋体" w:eastAsia="宋体" w:cs="宋体"/>
          <w:highlight w:val="none"/>
        </w:rPr>
      </w:pPr>
      <w:r>
        <w:rPr>
          <w:rFonts w:hint="eastAsia" w:ascii="宋体" w:hAnsi="宋体" w:eastAsia="宋体" w:cs="宋体"/>
          <w:highlight w:val="none"/>
        </w:rPr>
        <w:t>1.2.11.2</w:t>
      </w:r>
      <w:r>
        <w:rPr>
          <w:rFonts w:hint="eastAsia" w:ascii="宋体" w:hAnsi="宋体" w:eastAsia="宋体" w:cs="宋体"/>
          <w:highlight w:val="none"/>
        </w:rPr>
        <w:tab/>
      </w:r>
      <w:r>
        <w:rPr>
          <w:rFonts w:hint="eastAsia" w:ascii="宋体" w:hAnsi="宋体" w:eastAsia="宋体" w:cs="宋体"/>
          <w:highlight w:val="none"/>
        </w:rPr>
        <w:t xml:space="preserve"> 智能化主线槽及其他所有智能化系统所需要之线槽、线管等均由承包单位提供。 </w:t>
      </w:r>
    </w:p>
    <w:p>
      <w:pPr>
        <w:ind w:left="1580" w:right="8" w:hanging="990"/>
        <w:rPr>
          <w:rFonts w:hint="eastAsia" w:ascii="宋体" w:hAnsi="宋体" w:eastAsia="宋体" w:cs="宋体"/>
          <w:highlight w:val="none"/>
        </w:rPr>
      </w:pPr>
      <w:r>
        <w:rPr>
          <w:rFonts w:hint="eastAsia" w:ascii="宋体" w:hAnsi="宋体" w:eastAsia="宋体" w:cs="宋体"/>
          <w:highlight w:val="none"/>
        </w:rPr>
        <w:t xml:space="preserve">1.2.11.3 </w:t>
      </w:r>
      <w:r>
        <w:rPr>
          <w:rFonts w:hint="eastAsia" w:ascii="宋体" w:hAnsi="宋体" w:eastAsia="宋体" w:cs="宋体"/>
          <w:highlight w:val="none"/>
        </w:rPr>
        <w:tab/>
      </w:r>
      <w:r>
        <w:rPr>
          <w:rFonts w:hint="eastAsia" w:ascii="宋体" w:hAnsi="宋体" w:eastAsia="宋体" w:cs="宋体"/>
          <w:highlight w:val="none"/>
        </w:rPr>
        <w:t xml:space="preserve">为保证电子设备免受雷电浪涌过电压的破坏，承包单位应根据有关要求及标准对其智能化设备加装多级防雷保护装置。 </w:t>
      </w:r>
    </w:p>
    <w:p>
      <w:pPr>
        <w:ind w:left="600" w:right="8"/>
        <w:rPr>
          <w:rFonts w:hint="eastAsia" w:ascii="宋体" w:hAnsi="宋体" w:eastAsia="宋体" w:cs="宋体"/>
          <w:highlight w:val="none"/>
        </w:rPr>
      </w:pPr>
      <w:r>
        <w:rPr>
          <w:rFonts w:hint="eastAsia" w:ascii="宋体" w:hAnsi="宋体" w:eastAsia="宋体" w:cs="宋体"/>
          <w:highlight w:val="none"/>
        </w:rPr>
        <w:t xml:space="preserve">1.2.11.4 提供所有智能化系统线槽、线管（线缆）的油漆（标签）、保护工作。 </w:t>
      </w:r>
    </w:p>
    <w:p>
      <w:pPr>
        <w:ind w:left="1580" w:right="8" w:hanging="990"/>
        <w:rPr>
          <w:rFonts w:hint="eastAsia" w:ascii="宋体" w:hAnsi="宋体" w:eastAsia="宋体" w:cs="宋体"/>
          <w:highlight w:val="none"/>
        </w:rPr>
      </w:pPr>
      <w:r>
        <w:rPr>
          <w:rFonts w:hint="eastAsia" w:ascii="宋体" w:hAnsi="宋体" w:eastAsia="宋体" w:cs="宋体"/>
          <w:highlight w:val="none"/>
        </w:rPr>
        <w:t>1.2.11.5</w:t>
      </w:r>
      <w:r>
        <w:rPr>
          <w:rFonts w:hint="eastAsia" w:ascii="宋体" w:hAnsi="宋体" w:eastAsia="宋体" w:cs="宋体"/>
          <w:highlight w:val="none"/>
        </w:rPr>
        <w:tab/>
      </w:r>
      <w:r>
        <w:rPr>
          <w:rFonts w:hint="eastAsia" w:cs="宋体"/>
          <w:highlight w:val="none"/>
          <w:lang w:val="en-US" w:eastAsia="zh-CN"/>
        </w:rPr>
        <w:t xml:space="preserve"> </w:t>
      </w:r>
      <w:r>
        <w:rPr>
          <w:rFonts w:hint="eastAsia" w:ascii="宋体" w:hAnsi="宋体" w:eastAsia="宋体" w:cs="宋体"/>
          <w:highlight w:val="none"/>
        </w:rPr>
        <w:t xml:space="preserve">承包单位所建议和提供之系统设计和有关设备必须获得当地供电局、公安局、气象局、广电局、无线电管理委员会及其它有关部门的书面认可。 </w:t>
      </w:r>
    </w:p>
    <w:p>
      <w:pPr>
        <w:ind w:left="1580" w:right="8" w:hanging="990"/>
        <w:rPr>
          <w:rFonts w:hint="eastAsia" w:ascii="宋体" w:hAnsi="宋体" w:eastAsia="宋体" w:cs="宋体"/>
          <w:highlight w:val="none"/>
        </w:rPr>
      </w:pPr>
      <w:r>
        <w:rPr>
          <w:rFonts w:hint="eastAsia" w:ascii="宋体" w:hAnsi="宋体" w:eastAsia="宋体" w:cs="宋体"/>
          <w:highlight w:val="none"/>
        </w:rPr>
        <w:t>1.2.11.6</w:t>
      </w:r>
      <w:r>
        <w:rPr>
          <w:rFonts w:hint="eastAsia" w:cs="宋体"/>
          <w:highlight w:val="none"/>
          <w:lang w:val="en-US" w:eastAsia="zh-CN"/>
        </w:rPr>
        <w:t xml:space="preserve"> </w:t>
      </w:r>
      <w:r>
        <w:rPr>
          <w:rFonts w:hint="eastAsia" w:ascii="宋体" w:hAnsi="宋体" w:eastAsia="宋体" w:cs="宋体"/>
          <w:highlight w:val="none"/>
        </w:rPr>
        <w:tab/>
      </w:r>
      <w:r>
        <w:rPr>
          <w:rFonts w:hint="eastAsia" w:ascii="宋体" w:hAnsi="宋体" w:eastAsia="宋体" w:cs="宋体"/>
          <w:highlight w:val="none"/>
        </w:rPr>
        <w:t xml:space="preserve">如国家标准、规范没有明文要求，或在各系统的技术规格说明书或图纸上未作特别标注或说明的，承包单位如未事先书面提出，则均被认为承包单位已完全接受且由此所产生的全部费用已包括在合约总价内。 </w:t>
      </w:r>
    </w:p>
    <w:p>
      <w:pPr>
        <w:ind w:left="1580" w:right="8" w:hanging="990"/>
        <w:rPr>
          <w:rFonts w:hint="eastAsia" w:ascii="宋体" w:hAnsi="宋体" w:eastAsia="宋体" w:cs="宋体"/>
          <w:highlight w:val="none"/>
        </w:rPr>
      </w:pPr>
      <w:r>
        <w:rPr>
          <w:rFonts w:hint="eastAsia" w:ascii="宋体" w:hAnsi="宋体" w:eastAsia="宋体" w:cs="宋体"/>
          <w:highlight w:val="none"/>
        </w:rPr>
        <w:t xml:space="preserve">1.2.11.7 </w:t>
      </w:r>
      <w:r>
        <w:rPr>
          <w:rFonts w:hint="eastAsia" w:ascii="宋体" w:hAnsi="宋体" w:eastAsia="宋体" w:cs="宋体"/>
          <w:highlight w:val="none"/>
        </w:rPr>
        <w:tab/>
      </w:r>
      <w:r>
        <w:rPr>
          <w:rFonts w:hint="eastAsia" w:ascii="宋体" w:hAnsi="宋体" w:eastAsia="宋体" w:cs="宋体"/>
          <w:highlight w:val="none"/>
        </w:rPr>
        <w:t xml:space="preserve">承包单位应根据有关地震区域的要求及标准对其负责的安装做出适当的抗震保护。 </w:t>
      </w:r>
    </w:p>
    <w:p>
      <w:pPr>
        <w:ind w:left="1580" w:right="8" w:hanging="990"/>
        <w:rPr>
          <w:rFonts w:hint="eastAsia" w:ascii="宋体" w:hAnsi="宋体" w:eastAsia="宋体" w:cs="宋体"/>
          <w:highlight w:val="none"/>
        </w:rPr>
      </w:pPr>
      <w:r>
        <w:rPr>
          <w:rFonts w:hint="eastAsia" w:ascii="宋体" w:hAnsi="宋体" w:eastAsia="宋体" w:cs="宋体"/>
          <w:highlight w:val="none"/>
        </w:rPr>
        <w:t xml:space="preserve">1.2.11.8 </w:t>
      </w:r>
      <w:r>
        <w:rPr>
          <w:rFonts w:hint="eastAsia" w:ascii="宋体" w:hAnsi="宋体" w:eastAsia="宋体" w:cs="宋体"/>
          <w:highlight w:val="none"/>
        </w:rPr>
        <w:tab/>
      </w:r>
      <w:r>
        <w:rPr>
          <w:rFonts w:hint="eastAsia" w:ascii="宋体" w:hAnsi="宋体" w:eastAsia="宋体" w:cs="宋体"/>
          <w:highlight w:val="none"/>
        </w:rPr>
        <w:t xml:space="preserve">承包单位须提供本系统所有输出面板、插座面板、各设备箱的铭牌名牌及制作样本供相关方审核。 </w:t>
      </w:r>
    </w:p>
    <w:p>
      <w:pPr>
        <w:ind w:left="1580" w:right="8" w:hanging="990"/>
        <w:rPr>
          <w:rFonts w:hint="eastAsia" w:ascii="宋体" w:hAnsi="宋体" w:eastAsia="宋体" w:cs="宋体"/>
          <w:highlight w:val="none"/>
        </w:rPr>
      </w:pPr>
      <w:r>
        <w:rPr>
          <w:rFonts w:hint="eastAsia" w:ascii="宋体" w:hAnsi="宋体" w:eastAsia="宋体" w:cs="宋体"/>
          <w:highlight w:val="none"/>
        </w:rPr>
        <w:t xml:space="preserve">1.2.11.9 </w:t>
      </w:r>
      <w:r>
        <w:rPr>
          <w:rFonts w:hint="eastAsia" w:ascii="宋体" w:hAnsi="宋体" w:eastAsia="宋体" w:cs="宋体"/>
          <w:highlight w:val="none"/>
        </w:rPr>
        <w:tab/>
      </w:r>
      <w:r>
        <w:rPr>
          <w:rFonts w:hint="eastAsia" w:ascii="宋体" w:hAnsi="宋体" w:eastAsia="宋体" w:cs="宋体"/>
          <w:highlight w:val="none"/>
        </w:rPr>
        <w:t xml:space="preserve">无论图纸和规范中有无明确表示，承包单位均应提供一切必需的设计材料及人工完成全部工作，且应确保所提供的系统符合相关国家标准、规范。 </w:t>
      </w:r>
    </w:p>
    <w:p>
      <w:pPr>
        <w:ind w:left="1580" w:right="8" w:hanging="990"/>
        <w:rPr>
          <w:rFonts w:hint="eastAsia" w:ascii="宋体" w:hAnsi="宋体" w:eastAsia="宋体" w:cs="宋体"/>
          <w:highlight w:val="none"/>
        </w:rPr>
      </w:pPr>
      <w:r>
        <w:rPr>
          <w:rFonts w:hint="eastAsia" w:ascii="宋体" w:hAnsi="宋体" w:eastAsia="宋体" w:cs="宋体"/>
          <w:highlight w:val="none"/>
        </w:rPr>
        <w:t xml:space="preserve">1.2.11.10 承包单位除了必须遵照本技术规格说明书的要求以外，同时还必须满足国家有关法律、法规、规范和条例或当地政府及有关部门的特别要求。 </w:t>
      </w:r>
    </w:p>
    <w:p>
      <w:pPr>
        <w:spacing w:after="239" w:line="261" w:lineRule="auto"/>
        <w:ind w:left="1595" w:right="229" w:hanging="990"/>
        <w:jc w:val="both"/>
        <w:rPr>
          <w:rFonts w:hint="eastAsia" w:ascii="宋体" w:hAnsi="宋体" w:eastAsia="宋体" w:cs="宋体"/>
          <w:highlight w:val="none"/>
        </w:rPr>
      </w:pPr>
      <w:r>
        <w:rPr>
          <w:rFonts w:hint="eastAsia" w:ascii="宋体" w:hAnsi="宋体" w:eastAsia="宋体" w:cs="宋体"/>
          <w:highlight w:val="none"/>
        </w:rPr>
        <w:t xml:space="preserve">1.2.11.11 承包单位需要针对本项目实际情况，针对智能化系统的安装、调试编制专项施工组织方案及未来设备检修或更换的专项方案，并在获得业主 / 建筑师审核同意后实施。 </w:t>
      </w:r>
    </w:p>
    <w:p>
      <w:pPr>
        <w:ind w:left="1580" w:right="8" w:hanging="990"/>
        <w:rPr>
          <w:rFonts w:hint="eastAsia" w:ascii="宋体" w:hAnsi="宋体" w:eastAsia="宋体" w:cs="宋体"/>
          <w:highlight w:val="none"/>
        </w:rPr>
      </w:pPr>
      <w:r>
        <w:rPr>
          <w:rFonts w:hint="eastAsia" w:ascii="宋体" w:hAnsi="宋体" w:eastAsia="宋体" w:cs="宋体"/>
          <w:highlight w:val="none"/>
        </w:rPr>
        <w:t xml:space="preserve">1.2.11.12 承包单位需主动与相关承包单位（土建、机电等）协调，就涉及到双方接口事宜（如冷水机组、智能照明系统等），确定清晰、明确的接口工作范围、接口测试内容、测试完成时间及相关责任，从而确保大楼智能化管理平台系统顺利开通。 </w:t>
      </w:r>
    </w:p>
    <w:p>
      <w:pPr>
        <w:ind w:left="600" w:right="8"/>
        <w:rPr>
          <w:rFonts w:hint="eastAsia" w:ascii="宋体" w:hAnsi="宋体" w:eastAsia="宋体" w:cs="宋体"/>
          <w:highlight w:val="none"/>
        </w:rPr>
      </w:pPr>
      <w:r>
        <w:rPr>
          <w:rFonts w:hint="eastAsia" w:ascii="宋体" w:hAnsi="宋体" w:eastAsia="宋体" w:cs="宋体"/>
          <w:highlight w:val="none"/>
        </w:rPr>
        <w:t xml:space="preserve">1.2.11.13 承包单位需根据业主方需求，配合样板间优先完成。 </w:t>
      </w:r>
    </w:p>
    <w:p>
      <w:pPr>
        <w:ind w:left="600" w:right="8"/>
        <w:rPr>
          <w:rFonts w:hint="eastAsia" w:ascii="宋体" w:hAnsi="宋体" w:eastAsia="宋体" w:cs="宋体"/>
          <w:highlight w:val="none"/>
        </w:rPr>
      </w:pPr>
      <w:r>
        <w:rPr>
          <w:rFonts w:hint="eastAsia" w:ascii="宋体" w:hAnsi="宋体" w:eastAsia="宋体" w:cs="宋体"/>
          <w:highlight w:val="none"/>
        </w:rPr>
        <w:t xml:space="preserve">1.2.11.14 承包单位提供的工作站需为同品牌同型号且显示器、鼠标、键盘外观一致。 </w:t>
      </w:r>
    </w:p>
    <w:p>
      <w:pPr>
        <w:ind w:left="1580" w:right="8" w:hanging="990"/>
        <w:rPr>
          <w:rFonts w:hint="eastAsia" w:ascii="宋体" w:hAnsi="宋体" w:eastAsia="宋体" w:cs="宋体"/>
          <w:highlight w:val="none"/>
        </w:rPr>
      </w:pPr>
      <w:r>
        <w:rPr>
          <w:rFonts w:hint="eastAsia" w:ascii="宋体" w:hAnsi="宋体" w:eastAsia="宋体" w:cs="宋体"/>
          <w:highlight w:val="none"/>
        </w:rPr>
        <w:t xml:space="preserve">1.2.11.15 承包单位所提供的软件系统平台的界面样式及风格等设置，需提前报审并获得业主确认后方可安装使用。 </w:t>
      </w:r>
    </w:p>
    <w:p>
      <w:pPr>
        <w:ind w:left="600" w:right="8"/>
        <w:rPr>
          <w:rFonts w:hint="eastAsia" w:ascii="宋体" w:hAnsi="宋体" w:eastAsia="宋体" w:cs="宋体"/>
          <w:highlight w:val="none"/>
        </w:rPr>
      </w:pPr>
      <w:r>
        <w:rPr>
          <w:rFonts w:hint="eastAsia" w:ascii="宋体" w:hAnsi="宋体" w:eastAsia="宋体" w:cs="宋体"/>
          <w:highlight w:val="none"/>
        </w:rPr>
        <w:t xml:space="preserve">1.2.11.16 为符合安保之管理需求，安防监控系统的录像上墙显示方案需获得业主同意。 </w:t>
      </w:r>
    </w:p>
    <w:p>
      <w:pPr>
        <w:ind w:left="1580" w:right="8" w:hanging="990"/>
        <w:rPr>
          <w:rFonts w:hint="eastAsia" w:ascii="宋体" w:hAnsi="宋体" w:eastAsia="宋体" w:cs="宋体"/>
          <w:highlight w:val="none"/>
        </w:rPr>
      </w:pPr>
      <w:r>
        <w:rPr>
          <w:rFonts w:hint="eastAsia" w:ascii="宋体" w:hAnsi="宋体" w:eastAsia="宋体" w:cs="宋体"/>
          <w:highlight w:val="none"/>
        </w:rPr>
        <w:t xml:space="preserve">1.2.11.17 承包单位所提供的门禁读卡器的颜色，消防安防控制室及网络机房内操作台、监控墙、静电地板、天花的颜色，需征得业主方确认后方可安装使用。 </w:t>
      </w:r>
    </w:p>
    <w:p>
      <w:pPr>
        <w:ind w:left="1580" w:right="8" w:hanging="990"/>
        <w:rPr>
          <w:rFonts w:hint="eastAsia" w:ascii="宋体" w:hAnsi="宋体" w:eastAsia="宋体" w:cs="宋体"/>
          <w:highlight w:val="none"/>
        </w:rPr>
      </w:pPr>
      <w:r>
        <w:rPr>
          <w:rFonts w:hint="eastAsia" w:ascii="宋体" w:hAnsi="宋体" w:eastAsia="宋体" w:cs="宋体"/>
          <w:highlight w:val="none"/>
        </w:rPr>
        <w:t xml:space="preserve">1.2.11.18 承包单位需针对智能化管理平台接入的各个系统提交详细的接口规格书及最终的接口测试报告供业主方审核。 </w:t>
      </w:r>
    </w:p>
    <w:p>
      <w:pPr>
        <w:ind w:left="600" w:right="8"/>
        <w:rPr>
          <w:rFonts w:hint="eastAsia" w:ascii="宋体" w:hAnsi="宋体" w:eastAsia="宋体" w:cs="宋体"/>
          <w:highlight w:val="none"/>
        </w:rPr>
      </w:pPr>
      <w:r>
        <w:rPr>
          <w:rFonts w:hint="eastAsia" w:ascii="宋体" w:hAnsi="宋体" w:eastAsia="宋体" w:cs="宋体"/>
          <w:highlight w:val="none"/>
        </w:rPr>
        <w:t xml:space="preserve">1.2.11.19 承包单位需提供所有设备和材料的技术资料、样本或模型供业主方审核。 </w:t>
      </w:r>
    </w:p>
    <w:p>
      <w:pPr>
        <w:ind w:left="1580" w:right="8" w:hanging="990"/>
        <w:rPr>
          <w:rFonts w:hint="eastAsia" w:ascii="宋体" w:hAnsi="宋体" w:eastAsia="宋体" w:cs="宋体"/>
          <w:highlight w:val="none"/>
        </w:rPr>
      </w:pPr>
      <w:r>
        <w:rPr>
          <w:rFonts w:hint="eastAsia" w:ascii="宋体" w:hAnsi="宋体" w:eastAsia="宋体" w:cs="宋体"/>
          <w:highlight w:val="none"/>
        </w:rPr>
        <w:t xml:space="preserve">1.2.11.20 承包单位专业负责人的工作简历须在回标时提交业主、建筑师及工程师，审批通过后才可开展工作。施工过程中，如有需要，业主有权利要求更换，承包单位不得提出异议。 </w:t>
      </w:r>
    </w:p>
    <w:p>
      <w:pPr>
        <w:ind w:left="600" w:right="8"/>
        <w:rPr>
          <w:rFonts w:hint="eastAsia" w:ascii="宋体" w:hAnsi="宋体" w:eastAsia="宋体" w:cs="宋体"/>
          <w:highlight w:val="none"/>
        </w:rPr>
      </w:pPr>
      <w:r>
        <w:rPr>
          <w:rFonts w:hint="eastAsia" w:ascii="宋体" w:hAnsi="宋体" w:eastAsia="宋体" w:cs="宋体"/>
          <w:highlight w:val="none"/>
        </w:rPr>
        <w:t xml:space="preserve">1.2.11.21 承包单位需根据招标要求提供系统所需的备件、系统操作及维修手册。 </w:t>
      </w:r>
    </w:p>
    <w:p>
      <w:pPr>
        <w:ind w:left="600" w:right="8"/>
        <w:rPr>
          <w:rFonts w:hint="eastAsia" w:ascii="宋体" w:hAnsi="宋体" w:eastAsia="宋体" w:cs="宋体"/>
          <w:highlight w:val="none"/>
        </w:rPr>
      </w:pPr>
      <w:r>
        <w:rPr>
          <w:rFonts w:hint="eastAsia" w:ascii="宋体" w:hAnsi="宋体" w:eastAsia="宋体" w:cs="宋体"/>
          <w:highlight w:val="none"/>
        </w:rPr>
        <w:t xml:space="preserve">1.2.11.22 承包单位需根据项目整体进度准时提交系统调试报告等。 </w:t>
      </w:r>
    </w:p>
    <w:p>
      <w:pPr>
        <w:ind w:left="1580" w:right="8" w:hanging="990"/>
        <w:rPr>
          <w:rFonts w:hint="eastAsia" w:ascii="宋体" w:hAnsi="宋体" w:eastAsia="宋体" w:cs="宋体"/>
          <w:highlight w:val="none"/>
        </w:rPr>
      </w:pPr>
      <w:r>
        <w:rPr>
          <w:rFonts w:hint="eastAsia" w:ascii="宋体" w:hAnsi="宋体" w:eastAsia="宋体" w:cs="宋体"/>
          <w:highlight w:val="none"/>
        </w:rPr>
        <w:t xml:space="preserve">1.2.11.23 智能化承包单位需根据合约要求提供针对性的业主方培训方案，并应在培训前提交完整的培训计划、培训内容供业主方审核。 </w:t>
      </w:r>
    </w:p>
    <w:p>
      <w:pPr>
        <w:ind w:left="1580" w:right="8" w:hanging="990"/>
        <w:rPr>
          <w:rFonts w:hint="eastAsia" w:ascii="宋体" w:hAnsi="宋体" w:eastAsia="宋体" w:cs="宋体"/>
          <w:highlight w:val="none"/>
        </w:rPr>
      </w:pPr>
      <w:r>
        <w:rPr>
          <w:rFonts w:hint="eastAsia" w:ascii="宋体" w:hAnsi="宋体" w:eastAsia="宋体" w:cs="宋体"/>
          <w:highlight w:val="none"/>
        </w:rPr>
        <w:t>1.2.11.2</w:t>
      </w:r>
      <w:r>
        <w:rPr>
          <w:rFonts w:hint="eastAsia" w:ascii="宋体" w:hAnsi="宋体" w:eastAsia="宋体" w:cs="宋体"/>
          <w:highlight w:val="none"/>
          <w:lang w:val="en-US" w:eastAsia="zh-CN"/>
        </w:rPr>
        <w:t>5</w:t>
      </w:r>
      <w:r>
        <w:rPr>
          <w:rFonts w:hint="eastAsia" w:ascii="宋体" w:hAnsi="宋体" w:eastAsia="宋体" w:cs="宋体"/>
          <w:highlight w:val="none"/>
        </w:rPr>
        <w:t xml:space="preserve"> 承包单位需根据合约要求提供相应的维修及保养工作，维修时所需的工具及易损耗之配件均由承包单位负责。 </w:t>
      </w:r>
    </w:p>
    <w:p>
      <w:pPr>
        <w:ind w:left="1580" w:right="8" w:hanging="990"/>
        <w:rPr>
          <w:rFonts w:hint="eastAsia" w:ascii="宋体" w:hAnsi="宋体" w:eastAsia="宋体" w:cs="宋体"/>
          <w:highlight w:val="none"/>
        </w:rPr>
      </w:pPr>
      <w:r>
        <w:rPr>
          <w:rFonts w:hint="eastAsia" w:ascii="宋体" w:hAnsi="宋体" w:eastAsia="宋体" w:cs="宋体"/>
          <w:highlight w:val="none"/>
        </w:rPr>
        <w:t>1.2.11.2</w:t>
      </w:r>
      <w:r>
        <w:rPr>
          <w:rFonts w:hint="eastAsia" w:ascii="宋体" w:hAnsi="宋体" w:eastAsia="宋体" w:cs="宋体"/>
          <w:highlight w:val="none"/>
          <w:lang w:val="en-US" w:eastAsia="zh-CN"/>
        </w:rPr>
        <w:t>6</w:t>
      </w:r>
      <w:r>
        <w:rPr>
          <w:rFonts w:hint="eastAsia" w:ascii="宋体" w:hAnsi="宋体" w:eastAsia="宋体" w:cs="宋体"/>
          <w:highlight w:val="none"/>
        </w:rPr>
        <w:t xml:space="preserve"> 承包单位需根据项目总体计划制定针对本系统详细的工程实施进度计划，该进度计划需书面提交业主方批准。 </w:t>
      </w:r>
    </w:p>
    <w:p>
      <w:pPr>
        <w:ind w:left="1580" w:right="8" w:hanging="990"/>
        <w:rPr>
          <w:rFonts w:hint="eastAsia" w:ascii="宋体" w:hAnsi="宋体" w:eastAsia="宋体" w:cs="宋体"/>
          <w:highlight w:val="none"/>
        </w:rPr>
      </w:pPr>
      <w:r>
        <w:rPr>
          <w:rFonts w:hint="eastAsia" w:ascii="宋体" w:hAnsi="宋体" w:eastAsia="宋体" w:cs="宋体"/>
          <w:highlight w:val="none"/>
        </w:rPr>
        <w:t>1.2.11.2</w:t>
      </w:r>
      <w:r>
        <w:rPr>
          <w:rFonts w:hint="eastAsia" w:ascii="宋体" w:hAnsi="宋体" w:eastAsia="宋体" w:cs="宋体"/>
          <w:highlight w:val="none"/>
          <w:lang w:val="en-US" w:eastAsia="zh-CN"/>
        </w:rPr>
        <w:t>7</w:t>
      </w:r>
      <w:r>
        <w:rPr>
          <w:rFonts w:hint="eastAsia" w:ascii="宋体" w:hAnsi="宋体" w:eastAsia="宋体" w:cs="宋体"/>
          <w:highlight w:val="none"/>
        </w:rPr>
        <w:t xml:space="preserve"> 承包单位在施工阶段、竣工验收前所产生的垃圾、废料应及时清理并搬运至指定地点。 </w:t>
      </w:r>
    </w:p>
    <w:p>
      <w:pPr>
        <w:spacing w:after="7"/>
        <w:ind w:left="600" w:right="8"/>
        <w:rPr>
          <w:rFonts w:hint="eastAsia" w:ascii="宋体" w:hAnsi="宋体" w:eastAsia="宋体" w:cs="宋体"/>
          <w:highlight w:val="none"/>
        </w:rPr>
      </w:pPr>
      <w:r>
        <w:rPr>
          <w:rFonts w:hint="eastAsia" w:ascii="宋体" w:hAnsi="宋体" w:eastAsia="宋体" w:cs="宋体"/>
          <w:highlight w:val="none"/>
        </w:rPr>
        <w:t>1.2.11.2</w:t>
      </w:r>
      <w:r>
        <w:rPr>
          <w:rFonts w:hint="eastAsia" w:ascii="宋体" w:hAnsi="宋体" w:eastAsia="宋体" w:cs="宋体"/>
          <w:highlight w:val="none"/>
          <w:lang w:val="en-US" w:eastAsia="zh-CN"/>
        </w:rPr>
        <w:t>8</w:t>
      </w:r>
      <w:r>
        <w:rPr>
          <w:rFonts w:hint="eastAsia" w:ascii="宋体" w:hAnsi="宋体" w:eastAsia="宋体" w:cs="宋体"/>
          <w:highlight w:val="none"/>
        </w:rPr>
        <w:t xml:space="preserve"> 空调主机群控系统及其深化设计、群控系统所用传感器的供应及安装，均由</w:t>
      </w:r>
    </w:p>
    <w:p>
      <w:pPr>
        <w:spacing w:after="221"/>
        <w:ind w:left="1605" w:right="8"/>
        <w:rPr>
          <w:rFonts w:hint="eastAsia" w:ascii="宋体" w:hAnsi="宋体" w:eastAsia="宋体" w:cs="宋体"/>
          <w:highlight w:val="none"/>
        </w:rPr>
      </w:pPr>
      <w:r>
        <w:rPr>
          <w:rFonts w:hint="eastAsia" w:ascii="宋体" w:hAnsi="宋体" w:eastAsia="宋体" w:cs="宋体"/>
          <w:highlight w:val="none"/>
        </w:rPr>
        <w:t xml:space="preserve">本承包单位负责。 </w:t>
      </w:r>
    </w:p>
    <w:p>
      <w:pPr>
        <w:spacing w:after="0" w:line="259" w:lineRule="auto"/>
        <w:ind w:left="1685" w:right="0" w:firstLine="0"/>
        <w:rPr>
          <w:rFonts w:hint="eastAsia" w:ascii="宋体" w:hAnsi="宋体" w:eastAsia="宋体" w:cs="宋体"/>
          <w:highlight w:val="none"/>
        </w:rPr>
      </w:pPr>
      <w:r>
        <w:rPr>
          <w:rFonts w:hint="eastAsia" w:ascii="宋体" w:hAnsi="宋体" w:eastAsia="宋体" w:cs="宋体"/>
          <w:highlight w:val="none"/>
        </w:rPr>
        <w:t xml:space="preserve"> </w:t>
      </w:r>
      <w:r>
        <w:rPr>
          <w:rFonts w:hint="eastAsia" w:ascii="宋体" w:hAnsi="宋体" w:eastAsia="宋体" w:cs="宋体"/>
          <w:highlight w:val="none"/>
        </w:rPr>
        <w:tab/>
      </w:r>
      <w:r>
        <w:rPr>
          <w:rFonts w:hint="eastAsia" w:ascii="宋体" w:hAnsi="宋体" w:eastAsia="宋体" w:cs="宋体"/>
          <w:highlight w:val="none"/>
        </w:rPr>
        <w:t xml:space="preserve"> </w:t>
      </w:r>
      <w:r>
        <w:rPr>
          <w:rFonts w:hint="eastAsia" w:ascii="宋体" w:hAnsi="宋体" w:eastAsia="宋体" w:cs="宋体"/>
          <w:highlight w:val="none"/>
        </w:rPr>
        <w:br w:type="page"/>
      </w:r>
    </w:p>
    <w:p>
      <w:pPr>
        <w:pStyle w:val="2"/>
        <w:spacing w:after="7"/>
        <w:ind w:left="1310" w:right="8" w:hanging="720"/>
        <w:rPr>
          <w:rFonts w:hint="eastAsia" w:ascii="宋体" w:hAnsi="宋体" w:eastAsia="宋体" w:cs="宋体"/>
          <w:b/>
          <w:bCs/>
          <w:highlight w:val="none"/>
        </w:rPr>
      </w:pPr>
      <w:bookmarkStart w:id="1" w:name="_Toc25984"/>
      <w:r>
        <w:rPr>
          <w:rFonts w:hint="eastAsia" w:ascii="宋体" w:hAnsi="宋体" w:eastAsia="宋体" w:cs="宋体"/>
          <w:b/>
          <w:bCs/>
          <w:highlight w:val="none"/>
        </w:rPr>
        <w:t>与其它单位 / 政府部门的相关工作</w:t>
      </w:r>
      <w:bookmarkEnd w:id="1"/>
      <w:r>
        <w:rPr>
          <w:rFonts w:hint="eastAsia" w:ascii="宋体" w:hAnsi="宋体" w:eastAsia="宋体" w:cs="宋体"/>
          <w:b/>
          <w:bCs/>
          <w:highlight w:val="none"/>
        </w:rPr>
        <w:t xml:space="preserve"> </w:t>
      </w:r>
    </w:p>
    <w:p>
      <w:pPr>
        <w:spacing w:after="3" w:line="259" w:lineRule="auto"/>
        <w:ind w:left="1685" w:right="0" w:firstLine="0"/>
        <w:rPr>
          <w:rFonts w:hint="eastAsia" w:ascii="宋体" w:hAnsi="宋体" w:eastAsia="宋体" w:cs="宋体"/>
          <w:highlight w:val="none"/>
        </w:rPr>
      </w:pPr>
      <w:r>
        <w:rPr>
          <w:rFonts w:hint="eastAsia" w:ascii="宋体" w:hAnsi="宋体" w:eastAsia="宋体" w:cs="宋体"/>
          <w:highlight w:val="none"/>
        </w:rPr>
        <w:t xml:space="preserve"> </w:t>
      </w:r>
    </w:p>
    <w:p>
      <w:pPr>
        <w:pStyle w:val="3"/>
        <w:ind w:left="614" w:hanging="10"/>
        <w:rPr>
          <w:rFonts w:hint="eastAsia" w:ascii="宋体" w:hAnsi="宋体" w:eastAsia="宋体" w:cs="宋体"/>
          <w:highlight w:val="none"/>
        </w:rPr>
      </w:pPr>
      <w:r>
        <w:rPr>
          <w:rFonts w:hint="eastAsia" w:ascii="宋体" w:hAnsi="宋体" w:eastAsia="宋体" w:cs="宋体"/>
          <w:highlight w:val="none"/>
        </w:rPr>
        <w:t xml:space="preserve">   与各有关政府部门及公用事业机构协调及合作 </w:t>
      </w:r>
    </w:p>
    <w:p>
      <w:pPr>
        <w:spacing w:after="0" w:line="259" w:lineRule="auto"/>
        <w:ind w:left="1685" w:right="0" w:firstLine="0"/>
        <w:rPr>
          <w:rFonts w:hint="eastAsia" w:ascii="宋体" w:hAnsi="宋体" w:eastAsia="宋体" w:cs="宋体"/>
          <w:highlight w:val="none"/>
        </w:rPr>
      </w:pPr>
      <w:r>
        <w:rPr>
          <w:rFonts w:hint="eastAsia" w:ascii="宋体" w:hAnsi="宋体" w:eastAsia="宋体" w:cs="宋体"/>
          <w:highlight w:val="none"/>
        </w:rPr>
        <w:t xml:space="preserve"> </w:t>
      </w:r>
    </w:p>
    <w:p>
      <w:pPr>
        <w:spacing w:after="273"/>
        <w:ind w:left="600" w:right="8"/>
        <w:rPr>
          <w:rFonts w:hint="eastAsia" w:ascii="宋体" w:hAnsi="宋体" w:eastAsia="宋体" w:cs="宋体"/>
          <w:highlight w:val="none"/>
        </w:rPr>
      </w:pPr>
      <w:r>
        <w:rPr>
          <w:rFonts w:hint="eastAsia" w:ascii="宋体" w:hAnsi="宋体" w:eastAsia="宋体" w:cs="宋体"/>
          <w:highlight w:val="none"/>
        </w:rPr>
        <w:t xml:space="preserve">2.1.1 </w:t>
      </w:r>
      <w:r>
        <w:rPr>
          <w:rFonts w:hint="eastAsia" w:ascii="宋体" w:hAnsi="宋体" w:eastAsia="宋体" w:cs="宋体"/>
          <w:highlight w:val="none"/>
        </w:rPr>
        <w:tab/>
      </w:r>
      <w:r>
        <w:rPr>
          <w:rFonts w:hint="eastAsia" w:ascii="宋体" w:hAnsi="宋体" w:eastAsia="宋体" w:cs="宋体"/>
          <w:highlight w:val="none"/>
        </w:rPr>
        <w:t xml:space="preserve">概述 </w:t>
      </w:r>
    </w:p>
    <w:p>
      <w:pPr>
        <w:spacing w:after="0"/>
        <w:ind w:left="1608" w:right="8"/>
        <w:rPr>
          <w:rFonts w:hint="eastAsia" w:ascii="宋体" w:hAnsi="宋体" w:eastAsia="宋体" w:cs="宋体"/>
          <w:highlight w:val="none"/>
        </w:rPr>
      </w:pPr>
      <w:r>
        <w:rPr>
          <w:rFonts w:hint="eastAsia" w:ascii="宋体" w:hAnsi="宋体" w:eastAsia="宋体" w:cs="宋体"/>
          <w:highlight w:val="none"/>
        </w:rPr>
        <w:t xml:space="preserve">本承包单位须负责与各有关政府部门、设计院及公共事业机构进行协调及合作。 </w:t>
      </w:r>
    </w:p>
    <w:p>
      <w:pPr>
        <w:spacing w:after="2" w:line="259" w:lineRule="auto"/>
        <w:ind w:left="1598" w:right="0" w:firstLine="0"/>
        <w:rPr>
          <w:rFonts w:hint="eastAsia" w:ascii="宋体" w:hAnsi="宋体" w:eastAsia="宋体" w:cs="宋体"/>
          <w:highlight w:val="none"/>
        </w:rPr>
      </w:pPr>
      <w:r>
        <w:rPr>
          <w:rFonts w:hint="eastAsia" w:ascii="宋体" w:hAnsi="宋体" w:eastAsia="宋体" w:cs="宋体"/>
          <w:highlight w:val="none"/>
        </w:rPr>
        <w:t xml:space="preserve"> </w:t>
      </w:r>
    </w:p>
    <w:p>
      <w:pPr>
        <w:spacing w:after="273"/>
        <w:ind w:left="600" w:right="8"/>
        <w:rPr>
          <w:rFonts w:hint="eastAsia" w:ascii="宋体" w:hAnsi="宋体" w:eastAsia="宋体" w:cs="宋体"/>
          <w:highlight w:val="none"/>
        </w:rPr>
      </w:pPr>
      <w:r>
        <w:rPr>
          <w:rFonts w:hint="eastAsia" w:ascii="宋体" w:hAnsi="宋体" w:eastAsia="宋体" w:cs="宋体"/>
          <w:highlight w:val="none"/>
        </w:rPr>
        <w:t xml:space="preserve">2.1.2 </w:t>
      </w:r>
      <w:r>
        <w:rPr>
          <w:rFonts w:hint="eastAsia" w:ascii="宋体" w:hAnsi="宋体" w:eastAsia="宋体" w:cs="宋体"/>
          <w:highlight w:val="none"/>
        </w:rPr>
        <w:tab/>
      </w:r>
      <w:r>
        <w:rPr>
          <w:rFonts w:hint="eastAsia" w:ascii="宋体" w:hAnsi="宋体" w:eastAsia="宋体" w:cs="宋体"/>
          <w:highlight w:val="none"/>
        </w:rPr>
        <w:t xml:space="preserve">提供相应资料 </w:t>
      </w:r>
    </w:p>
    <w:p>
      <w:pPr>
        <w:spacing w:after="4"/>
        <w:ind w:left="1608" w:right="8"/>
        <w:rPr>
          <w:rFonts w:hint="eastAsia" w:ascii="宋体" w:hAnsi="宋体" w:eastAsia="宋体" w:cs="宋体"/>
          <w:highlight w:val="none"/>
        </w:rPr>
      </w:pPr>
      <w:r>
        <w:rPr>
          <w:rFonts w:hint="eastAsia" w:ascii="宋体" w:hAnsi="宋体" w:eastAsia="宋体" w:cs="宋体"/>
          <w:highlight w:val="none"/>
        </w:rPr>
        <w:t xml:space="preserve">智能化承包单位须提供系统有关资料，供各有关政府部门及设计院作审批之用，资料至少应包括图纸、样品、产品说明等。承包单位须注意，若所有须送审的资料未能达到有关部门的要求而需重新送审所产生的工期延误及费用损失均由本承包单位负责。 </w:t>
      </w:r>
    </w:p>
    <w:p>
      <w:pPr>
        <w:spacing w:after="0"/>
        <w:ind w:left="1608" w:right="8"/>
        <w:rPr>
          <w:rFonts w:hint="eastAsia" w:ascii="宋体" w:hAnsi="宋体" w:eastAsia="宋体" w:cs="宋体"/>
          <w:highlight w:val="none"/>
        </w:rPr>
      </w:pPr>
      <w:r>
        <w:rPr>
          <w:rFonts w:hint="eastAsia" w:ascii="宋体" w:hAnsi="宋体" w:eastAsia="宋体" w:cs="宋体"/>
          <w:highlight w:val="none"/>
        </w:rPr>
        <w:t xml:space="preserve">工作过程中若任何与建筑相关并须向有关政府部门申请豁免时，承包单位须负责提交所有需要的资料及费用。 </w:t>
      </w:r>
    </w:p>
    <w:p>
      <w:pPr>
        <w:spacing w:after="2" w:line="259" w:lineRule="auto"/>
        <w:ind w:left="1598" w:right="0" w:firstLine="0"/>
        <w:rPr>
          <w:rFonts w:hint="eastAsia" w:ascii="宋体" w:hAnsi="宋体" w:eastAsia="宋体" w:cs="宋体"/>
          <w:highlight w:val="none"/>
        </w:rPr>
      </w:pPr>
      <w:r>
        <w:rPr>
          <w:rFonts w:hint="eastAsia" w:ascii="宋体" w:hAnsi="宋体" w:eastAsia="宋体" w:cs="宋体"/>
          <w:highlight w:val="none"/>
        </w:rPr>
        <w:t xml:space="preserve"> </w:t>
      </w:r>
    </w:p>
    <w:p>
      <w:pPr>
        <w:spacing w:after="272"/>
        <w:ind w:left="600" w:right="8"/>
        <w:rPr>
          <w:rFonts w:hint="eastAsia" w:ascii="宋体" w:hAnsi="宋体" w:eastAsia="宋体" w:cs="宋体"/>
          <w:highlight w:val="none"/>
        </w:rPr>
      </w:pPr>
      <w:r>
        <w:rPr>
          <w:rFonts w:hint="eastAsia" w:ascii="宋体" w:hAnsi="宋体" w:eastAsia="宋体" w:cs="宋体"/>
          <w:highlight w:val="none"/>
        </w:rPr>
        <w:t xml:space="preserve">2.1.3 </w:t>
      </w:r>
      <w:r>
        <w:rPr>
          <w:rFonts w:hint="eastAsia" w:ascii="宋体" w:hAnsi="宋体" w:eastAsia="宋体" w:cs="宋体"/>
          <w:highlight w:val="none"/>
        </w:rPr>
        <w:tab/>
      </w:r>
      <w:r>
        <w:rPr>
          <w:rFonts w:hint="eastAsia" w:ascii="宋体" w:hAnsi="宋体" w:eastAsia="宋体" w:cs="宋体"/>
          <w:highlight w:val="none"/>
        </w:rPr>
        <w:t xml:space="preserve">相关责任赔偿 </w:t>
      </w:r>
    </w:p>
    <w:p>
      <w:pPr>
        <w:spacing w:after="0"/>
        <w:ind w:left="1608" w:right="8"/>
        <w:rPr>
          <w:rFonts w:hint="eastAsia" w:ascii="宋体" w:hAnsi="宋体" w:eastAsia="宋体" w:cs="宋体"/>
          <w:highlight w:val="none"/>
        </w:rPr>
      </w:pPr>
      <w:r>
        <w:rPr>
          <w:rFonts w:hint="eastAsia" w:ascii="宋体" w:hAnsi="宋体" w:eastAsia="宋体" w:cs="宋体"/>
          <w:highlight w:val="none"/>
        </w:rPr>
        <w:t xml:space="preserve">如因与有关政府部门及公用事业机构缺乏协调和合作而导致已安装的设备或系统需作更改或拆除，承包单位应承担所有有关的费用和因此而导致工期延误的责任，业主方保留对此作出相应索赔的权利。 </w:t>
      </w:r>
    </w:p>
    <w:p>
      <w:pPr>
        <w:spacing w:after="3" w:line="259" w:lineRule="auto"/>
        <w:ind w:left="1598" w:right="0" w:firstLine="0"/>
        <w:rPr>
          <w:rFonts w:hint="eastAsia" w:ascii="宋体" w:hAnsi="宋体" w:eastAsia="宋体" w:cs="宋体"/>
          <w:highlight w:val="none"/>
        </w:rPr>
      </w:pPr>
      <w:r>
        <w:rPr>
          <w:rFonts w:hint="eastAsia" w:ascii="宋体" w:hAnsi="宋体" w:eastAsia="宋体" w:cs="宋体"/>
          <w:highlight w:val="none"/>
        </w:rPr>
        <w:t xml:space="preserve"> </w:t>
      </w:r>
    </w:p>
    <w:p>
      <w:pPr>
        <w:spacing w:after="6"/>
        <w:ind w:left="1583" w:right="8" w:hanging="993"/>
        <w:rPr>
          <w:rFonts w:hint="eastAsia" w:ascii="宋体" w:hAnsi="宋体" w:eastAsia="宋体" w:cs="宋体"/>
          <w:highlight w:val="none"/>
        </w:rPr>
      </w:pPr>
      <w:r>
        <w:rPr>
          <w:rFonts w:hint="eastAsia" w:ascii="宋体" w:hAnsi="宋体" w:eastAsia="宋体" w:cs="宋体"/>
          <w:highlight w:val="none"/>
        </w:rPr>
        <w:t xml:space="preserve">2.1.4 </w:t>
      </w:r>
      <w:r>
        <w:rPr>
          <w:rFonts w:hint="eastAsia" w:ascii="宋体" w:hAnsi="宋体" w:eastAsia="宋体" w:cs="宋体"/>
          <w:highlight w:val="none"/>
        </w:rPr>
        <w:tab/>
      </w:r>
      <w:r>
        <w:rPr>
          <w:rFonts w:hint="eastAsia" w:ascii="宋体" w:hAnsi="宋体" w:eastAsia="宋体" w:cs="宋体"/>
          <w:highlight w:val="none"/>
        </w:rPr>
        <w:t xml:space="preserve">向各有关部门申请并获取一切所需许可及审批，包括施工图和设备送审、施工许可证等。提供足够及需要的文件、图纸等。去获取有关当地市/国家政府机关所需的合格证书及合格文件如报装、报建、报完工验收及竣工资料等。 </w:t>
      </w:r>
    </w:p>
    <w:p>
      <w:pPr>
        <w:spacing w:after="3" w:line="259" w:lineRule="auto"/>
        <w:ind w:left="1685" w:right="0" w:firstLine="0"/>
        <w:rPr>
          <w:rFonts w:hint="eastAsia" w:ascii="宋体" w:hAnsi="宋体" w:eastAsia="宋体" w:cs="宋体"/>
          <w:highlight w:val="none"/>
        </w:rPr>
      </w:pPr>
      <w:r>
        <w:rPr>
          <w:rFonts w:hint="eastAsia" w:ascii="宋体" w:hAnsi="宋体" w:eastAsia="宋体" w:cs="宋体"/>
          <w:highlight w:val="none"/>
        </w:rPr>
        <w:t xml:space="preserve"> </w:t>
      </w:r>
    </w:p>
    <w:p>
      <w:pPr>
        <w:spacing w:after="7"/>
        <w:ind w:left="600" w:right="8"/>
        <w:rPr>
          <w:rFonts w:hint="eastAsia" w:ascii="宋体" w:hAnsi="宋体" w:eastAsia="宋体" w:cs="宋体"/>
          <w:highlight w:val="none"/>
        </w:rPr>
      </w:pPr>
      <w:r>
        <w:rPr>
          <w:rFonts w:hint="eastAsia" w:ascii="宋体" w:hAnsi="宋体" w:eastAsia="宋体" w:cs="宋体"/>
          <w:highlight w:val="none"/>
        </w:rPr>
        <w:t xml:space="preserve">2.1.5 </w:t>
      </w:r>
      <w:r>
        <w:rPr>
          <w:rFonts w:hint="eastAsia" w:ascii="宋体" w:hAnsi="宋体" w:eastAsia="宋体" w:cs="宋体"/>
          <w:highlight w:val="none"/>
        </w:rPr>
        <w:tab/>
      </w:r>
      <w:r>
        <w:rPr>
          <w:rFonts w:hint="eastAsia" w:ascii="宋体" w:hAnsi="宋体" w:eastAsia="宋体" w:cs="宋体"/>
          <w:highlight w:val="none"/>
        </w:rPr>
        <w:t>提供一切所需图纸和资料予本项目之机电总协调承包单位，并与其协调，统</w:t>
      </w:r>
    </w:p>
    <w:p>
      <w:pPr>
        <w:spacing w:after="7"/>
        <w:ind w:left="1608" w:right="8"/>
        <w:rPr>
          <w:rFonts w:hint="eastAsia" w:ascii="宋体" w:hAnsi="宋体" w:eastAsia="宋体" w:cs="宋体"/>
          <w:highlight w:val="none"/>
        </w:rPr>
      </w:pPr>
      <w:r>
        <w:rPr>
          <w:rFonts w:hint="eastAsia" w:ascii="宋体" w:hAnsi="宋体" w:eastAsia="宋体" w:cs="宋体"/>
          <w:highlight w:val="none"/>
        </w:rPr>
        <w:t xml:space="preserve">一进行综合机电设备施工图和综合要求土建配合图的制作。 </w:t>
      </w:r>
    </w:p>
    <w:p>
      <w:pPr>
        <w:spacing w:after="3" w:line="259" w:lineRule="auto"/>
        <w:ind w:left="1685" w:right="0" w:firstLine="0"/>
        <w:rPr>
          <w:rFonts w:hint="eastAsia" w:ascii="宋体" w:hAnsi="宋体" w:eastAsia="宋体" w:cs="宋体"/>
          <w:highlight w:val="none"/>
        </w:rPr>
      </w:pPr>
      <w:r>
        <w:rPr>
          <w:rFonts w:hint="eastAsia" w:ascii="宋体" w:hAnsi="宋体" w:eastAsia="宋体" w:cs="宋体"/>
          <w:highlight w:val="none"/>
        </w:rPr>
        <w:t xml:space="preserve"> </w:t>
      </w:r>
    </w:p>
    <w:p>
      <w:pPr>
        <w:spacing w:after="7"/>
        <w:ind w:left="600" w:right="8"/>
        <w:rPr>
          <w:rFonts w:hint="eastAsia" w:ascii="宋体" w:hAnsi="宋体" w:eastAsia="宋体" w:cs="宋体"/>
          <w:highlight w:val="none"/>
        </w:rPr>
      </w:pPr>
      <w:r>
        <w:rPr>
          <w:rFonts w:hint="eastAsia" w:ascii="宋体" w:hAnsi="宋体" w:eastAsia="宋体" w:cs="宋体"/>
          <w:highlight w:val="none"/>
        </w:rPr>
        <w:t xml:space="preserve">2.1.6 </w:t>
      </w:r>
      <w:r>
        <w:rPr>
          <w:rFonts w:hint="eastAsia" w:ascii="宋体" w:hAnsi="宋体" w:eastAsia="宋体" w:cs="宋体"/>
          <w:highlight w:val="none"/>
        </w:rPr>
        <w:tab/>
      </w:r>
      <w:r>
        <w:rPr>
          <w:rFonts w:hint="eastAsia" w:ascii="宋体" w:hAnsi="宋体" w:eastAsia="宋体" w:cs="宋体"/>
          <w:highlight w:val="none"/>
        </w:rPr>
        <w:t>本承包单位需提供本项目内所需要的电话/网络/有线电视电缆桥架、线槽、</w:t>
      </w:r>
    </w:p>
    <w:p>
      <w:pPr>
        <w:ind w:left="1608" w:right="8"/>
        <w:rPr>
          <w:rFonts w:hint="eastAsia" w:ascii="宋体" w:hAnsi="宋体" w:eastAsia="宋体" w:cs="宋体"/>
          <w:highlight w:val="none"/>
        </w:rPr>
      </w:pPr>
      <w:r>
        <w:rPr>
          <w:rFonts w:hint="eastAsia" w:ascii="宋体" w:hAnsi="宋体" w:eastAsia="宋体" w:cs="宋体"/>
          <w:highlight w:val="none"/>
        </w:rPr>
        <w:t xml:space="preserve">线管及套管。 </w:t>
      </w:r>
    </w:p>
    <w:p>
      <w:pPr>
        <w:pStyle w:val="3"/>
        <w:ind w:left="614" w:hanging="10"/>
        <w:rPr>
          <w:rFonts w:hint="eastAsia" w:ascii="宋体" w:hAnsi="宋体" w:eastAsia="宋体" w:cs="宋体"/>
          <w:color w:val="auto"/>
          <w:highlight w:val="none"/>
          <w:lang w:val="en-US" w:eastAsia="zh-CN"/>
        </w:rPr>
      </w:pPr>
      <w:r>
        <w:rPr>
          <w:rFonts w:hint="eastAsia" w:ascii="宋体" w:hAnsi="宋体" w:eastAsia="宋体" w:cs="宋体"/>
          <w:color w:val="auto"/>
          <w:highlight w:val="none"/>
        </w:rPr>
        <w:t xml:space="preserve">   </w:t>
      </w:r>
      <w:r>
        <w:rPr>
          <w:rFonts w:hint="eastAsia" w:ascii="宋体" w:hAnsi="宋体" w:eastAsia="宋体" w:cs="宋体"/>
          <w:color w:val="auto"/>
          <w:highlight w:val="none"/>
          <w:lang w:val="en-US" w:eastAsia="zh-CN"/>
        </w:rPr>
        <w:t xml:space="preserve">招标的范围                  </w:t>
      </w:r>
    </w:p>
    <w:p>
      <w:pPr>
        <w:numPr>
          <w:ilvl w:val="0"/>
          <w:numId w:val="0"/>
        </w:numPr>
        <w:ind w:left="1668" w:leftChars="300" w:hanging="948" w:hangingChars="395"/>
        <w:outlineLvl w:val="9"/>
        <w:rPr>
          <w:rFonts w:hint="eastAsia" w:ascii="宋体" w:hAnsi="宋体" w:eastAsia="宋体" w:cs="宋体"/>
          <w:color w:val="000000"/>
          <w:kern w:val="2"/>
          <w:sz w:val="24"/>
          <w:szCs w:val="22"/>
          <w:highlight w:val="none"/>
          <w:lang w:val="en-US" w:eastAsia="zh-CN" w:bidi="ar-SA"/>
        </w:rPr>
      </w:pPr>
      <w:r>
        <w:rPr>
          <w:rFonts w:hint="eastAsia" w:ascii="宋体" w:hAnsi="宋体" w:eastAsia="宋体" w:cs="宋体"/>
          <w:color w:val="auto"/>
          <w:highlight w:val="none"/>
          <w:lang w:val="en-US" w:eastAsia="zh-CN"/>
        </w:rPr>
        <w:t xml:space="preserve">        </w:t>
      </w:r>
      <w:r>
        <w:rPr>
          <w:rFonts w:hint="eastAsia" w:ascii="宋体" w:hAnsi="宋体" w:eastAsia="宋体" w:cs="宋体"/>
          <w:highlight w:val="none"/>
          <w:lang w:val="en-US" w:eastAsia="zh-CN"/>
        </w:rPr>
        <w:t>本次招标内容包括以下系统：</w:t>
      </w:r>
      <w:r>
        <w:rPr>
          <w:rFonts w:hint="eastAsia" w:cs="宋体"/>
          <w:highlight w:val="none"/>
          <w:lang w:val="en-US" w:eastAsia="zh-CN"/>
        </w:rPr>
        <w:t>信息引导及发布系统（设备及系统平台）、院区标准时钟系统（设备及系统平台）、候诊呼叫系统（设备及系统平台）、会议系统、机房工程，</w:t>
      </w:r>
      <w:r>
        <w:rPr>
          <w:rFonts w:hint="eastAsia" w:ascii="宋体" w:hAnsi="宋体" w:eastAsia="宋体" w:cs="宋体"/>
          <w:highlight w:val="none"/>
          <w:lang w:val="en-US" w:eastAsia="zh-CN"/>
        </w:rPr>
        <w:t xml:space="preserve">具体的工作内容以清单内容为准。 </w:t>
      </w:r>
    </w:p>
    <w:p>
      <w:pPr>
        <w:spacing w:after="3" w:line="259" w:lineRule="auto"/>
        <w:ind w:left="1685" w:right="0" w:firstLine="0"/>
        <w:rPr>
          <w:rFonts w:hint="eastAsia" w:ascii="宋体" w:hAnsi="宋体" w:eastAsia="宋体" w:cs="宋体"/>
          <w:color w:val="000000"/>
          <w:kern w:val="2"/>
          <w:sz w:val="24"/>
          <w:szCs w:val="22"/>
          <w:highlight w:val="none"/>
          <w:lang w:val="en-US" w:eastAsia="zh-CN" w:bidi="ar-SA"/>
        </w:rPr>
      </w:pPr>
    </w:p>
    <w:p>
      <w:pPr>
        <w:pStyle w:val="3"/>
        <w:ind w:left="614" w:hanging="10"/>
        <w:rPr>
          <w:rFonts w:hint="eastAsia" w:ascii="宋体" w:hAnsi="宋体" w:eastAsia="宋体" w:cs="宋体"/>
          <w:color w:val="auto"/>
          <w:highlight w:val="none"/>
        </w:rPr>
      </w:pPr>
      <w:r>
        <w:rPr>
          <w:rFonts w:hint="eastAsia" w:ascii="宋体" w:hAnsi="宋体" w:eastAsia="宋体" w:cs="宋体"/>
          <w:color w:val="auto"/>
          <w:highlight w:val="none"/>
        </w:rPr>
        <w:t xml:space="preserve">各专业间的界面划分 </w:t>
      </w:r>
    </w:p>
    <w:p>
      <w:pPr>
        <w:spacing w:after="0" w:line="259" w:lineRule="auto"/>
        <w:ind w:left="1685" w:right="0" w:firstLine="0"/>
        <w:rPr>
          <w:rFonts w:hint="eastAsia" w:ascii="宋体" w:hAnsi="宋体" w:eastAsia="宋体" w:cs="宋体"/>
          <w:color w:val="auto"/>
          <w:highlight w:val="none"/>
        </w:rPr>
      </w:pPr>
      <w:r>
        <w:rPr>
          <w:rFonts w:hint="eastAsia" w:ascii="宋体" w:hAnsi="宋体" w:eastAsia="宋体" w:cs="宋体"/>
          <w:color w:val="auto"/>
          <w:highlight w:val="none"/>
        </w:rPr>
        <w:t xml:space="preserve"> </w:t>
      </w:r>
    </w:p>
    <w:p>
      <w:pPr>
        <w:spacing w:after="0" w:line="259" w:lineRule="auto"/>
        <w:ind w:left="348" w:leftChars="145" w:right="0" w:firstLine="228" w:firstLineChars="95"/>
        <w:rPr>
          <w:rFonts w:hint="eastAsia" w:ascii="宋体" w:hAnsi="宋体" w:eastAsia="宋体" w:cs="宋体"/>
          <w:color w:val="auto"/>
          <w:highlight w:val="none"/>
          <w:lang w:val="en-US" w:eastAsia="zh-CN"/>
        </w:rPr>
      </w:pPr>
      <w:r>
        <w:rPr>
          <w:rFonts w:hint="eastAsia" w:ascii="宋体" w:hAnsi="宋体" w:eastAsia="宋体" w:cs="宋体"/>
          <w:color w:val="auto"/>
          <w:highlight w:val="none"/>
        </w:rPr>
        <w:t>2.</w:t>
      </w:r>
      <w:r>
        <w:rPr>
          <w:rFonts w:hint="eastAsia" w:ascii="宋体" w:hAnsi="宋体" w:eastAsia="宋体" w:cs="宋体"/>
          <w:color w:val="auto"/>
          <w:highlight w:val="none"/>
          <w:lang w:val="en-US" w:eastAsia="zh-CN"/>
        </w:rPr>
        <w:t>3</w:t>
      </w:r>
      <w:r>
        <w:rPr>
          <w:rFonts w:hint="eastAsia" w:ascii="宋体" w:hAnsi="宋体" w:eastAsia="宋体" w:cs="宋体"/>
          <w:color w:val="auto"/>
          <w:highlight w:val="none"/>
        </w:rPr>
        <w:t xml:space="preserve">.1 </w:t>
      </w:r>
      <w:r>
        <w:rPr>
          <w:rFonts w:hint="eastAsia" w:ascii="宋体" w:hAnsi="宋体" w:eastAsia="宋体" w:cs="宋体"/>
          <w:color w:val="auto"/>
          <w:highlight w:val="none"/>
          <w:lang w:val="en-US" w:eastAsia="zh-CN"/>
        </w:rPr>
        <w:t>智能化招标范围界面划分</w:t>
      </w:r>
    </w:p>
    <w:tbl>
      <w:tblPr>
        <w:tblStyle w:val="8"/>
        <w:tblW w:w="4920" w:type="pct"/>
        <w:tblInd w:w="152"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776"/>
        <w:gridCol w:w="1248"/>
        <w:gridCol w:w="3582"/>
        <w:gridCol w:w="2776"/>
        <w:gridCol w:w="155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390"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tabs>
                <w:tab w:val="left" w:pos="480"/>
              </w:tabs>
              <w:kinsoku/>
              <w:wordWrap/>
              <w:overflowPunct/>
              <w:topLinePunct w:val="0"/>
              <w:autoSpaceDE/>
              <w:autoSpaceDN/>
              <w:bidi w:val="0"/>
              <w:adjustRightInd/>
              <w:snapToGrid/>
              <w:spacing w:after="0" w:line="240" w:lineRule="auto"/>
              <w:ind w:left="0" w:leftChars="0" w:right="53" w:rightChars="22" w:firstLine="0" w:firstLineChars="0"/>
              <w:jc w:val="center"/>
              <w:textAlignment w:val="center"/>
              <w:rPr>
                <w:rFonts w:hint="eastAsia" w:ascii="宋体" w:hAnsi="宋体" w:eastAsia="宋体" w:cs="宋体"/>
                <w:i w:val="0"/>
                <w:iCs w:val="0"/>
                <w:color w:val="auto"/>
                <w:kern w:val="0"/>
                <w:sz w:val="24"/>
                <w:szCs w:val="24"/>
                <w:highlight w:val="none"/>
                <w:u w:val="none"/>
                <w:lang w:val="en-US" w:eastAsia="zh-CN" w:bidi="ar"/>
              </w:rPr>
            </w:pPr>
            <w:bookmarkStart w:id="8" w:name="_GoBack"/>
            <w:r>
              <w:rPr>
                <w:rFonts w:hint="eastAsia" w:ascii="宋体" w:hAnsi="宋体" w:eastAsia="宋体" w:cs="宋体"/>
                <w:i w:val="0"/>
                <w:iCs w:val="0"/>
                <w:color w:val="auto"/>
                <w:kern w:val="0"/>
                <w:sz w:val="24"/>
                <w:szCs w:val="24"/>
                <w:highlight w:val="none"/>
                <w:u w:val="none"/>
                <w:lang w:val="en-US" w:eastAsia="zh-CN" w:bidi="ar"/>
              </w:rPr>
              <w:t>序号</w:t>
            </w:r>
          </w:p>
        </w:tc>
        <w:tc>
          <w:tcPr>
            <w:tcW w:w="628"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right="53" w:rightChars="22"/>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系统</w:t>
            </w:r>
          </w:p>
        </w:tc>
        <w:tc>
          <w:tcPr>
            <w:tcW w:w="3981"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right="53" w:rightChars="22"/>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智能化</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trPr>
        <w:tc>
          <w:tcPr>
            <w:tcW w:w="390"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240" w:lineRule="auto"/>
              <w:ind w:left="0" w:leftChars="0" w:firstLine="0" w:firstLineChars="0"/>
              <w:jc w:val="center"/>
              <w:rPr>
                <w:rFonts w:hint="eastAsia" w:ascii="宋体" w:hAnsi="宋体" w:eastAsia="宋体" w:cs="宋体"/>
                <w:i w:val="0"/>
                <w:iCs w:val="0"/>
                <w:color w:val="auto"/>
                <w:sz w:val="24"/>
                <w:szCs w:val="24"/>
                <w:highlight w:val="none"/>
                <w:u w:val="none"/>
              </w:rPr>
            </w:pPr>
          </w:p>
        </w:tc>
        <w:tc>
          <w:tcPr>
            <w:tcW w:w="628"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240" w:lineRule="auto"/>
              <w:ind w:right="53" w:rightChars="22"/>
              <w:jc w:val="center"/>
              <w:rPr>
                <w:rFonts w:hint="eastAsia" w:ascii="宋体" w:hAnsi="宋体" w:eastAsia="宋体" w:cs="宋体"/>
                <w:i w:val="0"/>
                <w:iCs w:val="0"/>
                <w:color w:val="auto"/>
                <w:sz w:val="24"/>
                <w:szCs w:val="24"/>
                <w:highlight w:val="none"/>
                <w:u w:val="none"/>
              </w:rPr>
            </w:pPr>
          </w:p>
        </w:tc>
        <w:tc>
          <w:tcPr>
            <w:tcW w:w="180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default" w:ascii="宋体" w:hAnsi="宋体" w:eastAsia="宋体" w:cs="宋体"/>
                <w:i w:val="0"/>
                <w:iCs w:val="0"/>
                <w:color w:val="auto"/>
                <w:sz w:val="24"/>
                <w:szCs w:val="24"/>
                <w:highlight w:val="none"/>
                <w:u w:val="none"/>
                <w:lang w:val="en-US"/>
              </w:rPr>
            </w:pPr>
            <w:r>
              <w:rPr>
                <w:rFonts w:hint="eastAsia" w:cs="宋体"/>
                <w:i w:val="0"/>
                <w:iCs w:val="0"/>
                <w:color w:val="auto"/>
                <w:kern w:val="0"/>
                <w:sz w:val="24"/>
                <w:szCs w:val="24"/>
                <w:highlight w:val="none"/>
                <w:u w:val="none"/>
                <w:lang w:val="en-US" w:eastAsia="zh-CN" w:bidi="ar"/>
              </w:rPr>
              <w:t>其他1</w:t>
            </w:r>
          </w:p>
        </w:tc>
        <w:tc>
          <w:tcPr>
            <w:tcW w:w="13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default" w:ascii="宋体" w:hAnsi="宋体" w:eastAsia="宋体" w:cs="宋体"/>
                <w:i w:val="0"/>
                <w:iCs w:val="0"/>
                <w:color w:val="auto"/>
                <w:sz w:val="24"/>
                <w:szCs w:val="24"/>
                <w:highlight w:val="none"/>
                <w:u w:val="none"/>
                <w:lang w:val="en-US"/>
              </w:rPr>
            </w:pPr>
            <w:r>
              <w:rPr>
                <w:rFonts w:hint="eastAsia" w:cs="宋体"/>
                <w:i w:val="0"/>
                <w:iCs w:val="0"/>
                <w:color w:val="auto"/>
                <w:kern w:val="0"/>
                <w:sz w:val="24"/>
                <w:szCs w:val="24"/>
                <w:highlight w:val="none"/>
                <w:u w:val="none"/>
                <w:lang w:val="en-US" w:eastAsia="zh-CN" w:bidi="ar"/>
              </w:rPr>
              <w:t>本工程</w:t>
            </w:r>
          </w:p>
        </w:tc>
        <w:tc>
          <w:tcPr>
            <w:tcW w:w="7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right="-106" w:rightChars="-44"/>
              <w:jc w:val="center"/>
              <w:textAlignment w:val="center"/>
              <w:rPr>
                <w:rFonts w:hint="eastAsia" w:ascii="宋体" w:hAnsi="宋体" w:eastAsia="宋体" w:cs="宋体"/>
                <w:i w:val="0"/>
                <w:iCs w:val="0"/>
                <w:color w:val="auto"/>
                <w:sz w:val="24"/>
                <w:szCs w:val="24"/>
                <w:highlight w:val="none"/>
                <w:u w:val="none"/>
                <w:lang w:val="en-US"/>
              </w:rPr>
            </w:pPr>
            <w:r>
              <w:rPr>
                <w:rFonts w:hint="eastAsia" w:ascii="宋体" w:hAnsi="宋体" w:eastAsia="宋体" w:cs="宋体"/>
                <w:i w:val="0"/>
                <w:iCs w:val="0"/>
                <w:color w:val="auto"/>
                <w:kern w:val="0"/>
                <w:sz w:val="24"/>
                <w:szCs w:val="24"/>
                <w:highlight w:val="none"/>
                <w:u w:val="none"/>
                <w:lang w:val="en-US" w:eastAsia="zh-CN" w:bidi="ar"/>
              </w:rPr>
              <w:t>其他2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3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right="53" w:rightChars="22"/>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w:t>
            </w:r>
          </w:p>
        </w:tc>
        <w:tc>
          <w:tcPr>
            <w:tcW w:w="62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right="53" w:rightChars="22"/>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综合布线系统</w:t>
            </w:r>
          </w:p>
        </w:tc>
        <w:tc>
          <w:tcPr>
            <w:tcW w:w="18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numPr>
                <w:ilvl w:val="0"/>
                <w:numId w:val="2"/>
              </w:numPr>
              <w:suppressLineNumbers w:val="0"/>
              <w:kinsoku/>
              <w:wordWrap/>
              <w:overflowPunct/>
              <w:topLinePunct w:val="0"/>
              <w:autoSpaceDE/>
              <w:autoSpaceDN/>
              <w:bidi w:val="0"/>
              <w:adjustRightInd/>
              <w:snapToGrid/>
              <w:spacing w:after="0" w:line="240" w:lineRule="auto"/>
              <w:ind w:right="53" w:rightChars="22"/>
              <w:jc w:val="left"/>
              <w:textAlignment w:val="center"/>
              <w:rPr>
                <w:rFonts w:hint="eastAsia" w:ascii="宋体" w:hAnsi="宋体" w:eastAsia="宋体" w:cs="宋体"/>
                <w:color w:val="auto"/>
                <w:sz w:val="24"/>
                <w:szCs w:val="24"/>
                <w:highlight w:val="none"/>
                <w:lang w:val="en-US" w:eastAsia="zh-CN"/>
              </w:rPr>
            </w:pPr>
            <w:r>
              <w:rPr>
                <w:rFonts w:hint="eastAsia" w:ascii="宋体" w:hAnsi="宋体" w:eastAsia="宋体" w:cs="宋体"/>
                <w:i w:val="0"/>
                <w:iCs w:val="0"/>
                <w:color w:val="auto"/>
                <w:kern w:val="0"/>
                <w:sz w:val="24"/>
                <w:szCs w:val="24"/>
                <w:highlight w:val="none"/>
                <w:u w:val="none"/>
                <w:lang w:val="en-US" w:eastAsia="zh-CN" w:bidi="ar"/>
              </w:rPr>
              <w:t>负责整个系统设备（含线管线缆）的提供、安装、调试及试运行工作。</w:t>
            </w:r>
            <w:r>
              <w:rPr>
                <w:rFonts w:hint="eastAsia" w:cs="宋体"/>
                <w:i w:val="0"/>
                <w:iCs w:val="0"/>
                <w:color w:val="auto"/>
                <w:kern w:val="0"/>
                <w:sz w:val="24"/>
                <w:szCs w:val="24"/>
                <w:highlight w:val="none"/>
                <w:u w:val="none"/>
                <w:lang w:val="en-US" w:eastAsia="zh-CN" w:bidi="ar"/>
              </w:rPr>
              <w:t>（包括连接交换机的网络跳线、光纤跳线的理线、扎线、接线等工作，以及配合交换机安装及调试工作）</w:t>
            </w:r>
          </w:p>
          <w:p>
            <w:pPr>
              <w:keepNext w:val="0"/>
              <w:keepLines w:val="0"/>
              <w:pageBreakBefore w:val="0"/>
              <w:widowControl/>
              <w:numPr>
                <w:ilvl w:val="0"/>
                <w:numId w:val="2"/>
              </w:numPr>
              <w:suppressLineNumbers w:val="0"/>
              <w:kinsoku/>
              <w:wordWrap/>
              <w:overflowPunct/>
              <w:topLinePunct w:val="0"/>
              <w:autoSpaceDE/>
              <w:autoSpaceDN/>
              <w:bidi w:val="0"/>
              <w:adjustRightInd/>
              <w:snapToGrid/>
              <w:spacing w:after="0" w:line="240" w:lineRule="auto"/>
              <w:ind w:right="53" w:rightChars="22"/>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color w:val="auto"/>
                <w:sz w:val="24"/>
                <w:szCs w:val="24"/>
                <w:highlight w:val="none"/>
                <w:lang w:val="en-US" w:eastAsia="zh-CN"/>
              </w:rPr>
              <w:t>医学综合楼使用IPTV系统，信号源接入由运营商完成，信息源后的内容（包括机房）由智能化完成。</w:t>
            </w:r>
          </w:p>
          <w:p>
            <w:pPr>
              <w:keepNext w:val="0"/>
              <w:keepLines w:val="0"/>
              <w:pageBreakBefore w:val="0"/>
              <w:widowControl/>
              <w:numPr>
                <w:ilvl w:val="0"/>
                <w:numId w:val="2"/>
              </w:numPr>
              <w:suppressLineNumbers w:val="0"/>
              <w:kinsoku/>
              <w:wordWrap/>
              <w:overflowPunct/>
              <w:topLinePunct w:val="0"/>
              <w:autoSpaceDE/>
              <w:autoSpaceDN/>
              <w:bidi w:val="0"/>
              <w:adjustRightInd/>
              <w:snapToGrid/>
              <w:spacing w:after="0" w:line="240" w:lineRule="auto"/>
              <w:ind w:right="53" w:rightChars="22"/>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cs="宋体"/>
                <w:i w:val="0"/>
                <w:iCs w:val="0"/>
                <w:color w:val="auto"/>
                <w:kern w:val="0"/>
                <w:sz w:val="24"/>
                <w:szCs w:val="24"/>
                <w:highlight w:val="none"/>
                <w:u w:val="none"/>
                <w:lang w:val="en-US" w:eastAsia="zh-CN" w:bidi="ar"/>
              </w:rPr>
              <w:t>包括</w:t>
            </w:r>
            <w:r>
              <w:rPr>
                <w:rFonts w:hint="eastAsia" w:ascii="宋体" w:hAnsi="宋体" w:eastAsia="宋体" w:cs="宋体"/>
                <w:i w:val="0"/>
                <w:iCs w:val="0"/>
                <w:color w:val="auto"/>
                <w:kern w:val="0"/>
                <w:sz w:val="24"/>
                <w:szCs w:val="24"/>
                <w:highlight w:val="none"/>
                <w:u w:val="none"/>
                <w:lang w:val="en-US" w:eastAsia="zh-CN" w:bidi="ar"/>
              </w:rPr>
              <w:t>数字视频安防监控</w:t>
            </w:r>
            <w:r>
              <w:rPr>
                <w:rFonts w:hint="eastAsia" w:cs="宋体"/>
                <w:i w:val="0"/>
                <w:iCs w:val="0"/>
                <w:color w:val="auto"/>
                <w:kern w:val="0"/>
                <w:sz w:val="24"/>
                <w:szCs w:val="24"/>
                <w:highlight w:val="none"/>
                <w:u w:val="none"/>
                <w:lang w:val="en-US" w:eastAsia="zh-CN" w:bidi="ar"/>
              </w:rPr>
              <w:t>系统的单口设备网监控信息插座、网线，以及相关的钢管等内容划归至该系统。</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after="0" w:line="240" w:lineRule="auto"/>
              <w:ind w:left="108" w:leftChars="0" w:right="53" w:rightChars="22"/>
              <w:jc w:val="left"/>
              <w:textAlignment w:val="center"/>
              <w:rPr>
                <w:rFonts w:hint="eastAsia" w:ascii="宋体" w:hAnsi="宋体" w:eastAsia="宋体" w:cs="宋体"/>
                <w:i w:val="0"/>
                <w:iCs w:val="0"/>
                <w:color w:val="auto"/>
                <w:kern w:val="0"/>
                <w:sz w:val="24"/>
                <w:szCs w:val="24"/>
                <w:highlight w:val="none"/>
                <w:u w:val="none"/>
                <w:lang w:val="en-US" w:eastAsia="zh-CN" w:bidi="ar"/>
              </w:rPr>
            </w:pPr>
          </w:p>
        </w:tc>
        <w:tc>
          <w:tcPr>
            <w:tcW w:w="13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right="53" w:rightChars="22"/>
              <w:jc w:val="left"/>
              <w:textAlignment w:val="center"/>
              <w:rPr>
                <w:rFonts w:hint="eastAsia" w:ascii="宋体" w:hAnsi="宋体" w:eastAsia="宋体" w:cs="宋体"/>
                <w:i w:val="0"/>
                <w:iCs w:val="0"/>
                <w:color w:val="auto"/>
                <w:kern w:val="0"/>
                <w:sz w:val="24"/>
                <w:szCs w:val="24"/>
                <w:highlight w:val="none"/>
                <w:u w:val="none"/>
                <w:lang w:val="en-US" w:eastAsia="zh-CN" w:bidi="ar"/>
              </w:rPr>
            </w:pPr>
          </w:p>
        </w:tc>
        <w:tc>
          <w:tcPr>
            <w:tcW w:w="7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right="-106" w:rightChars="-44"/>
              <w:jc w:val="left"/>
              <w:textAlignment w:val="center"/>
              <w:rPr>
                <w:rFonts w:hint="eastAsia" w:ascii="宋体" w:hAnsi="宋体" w:eastAsia="宋体" w:cs="宋体"/>
                <w:i w:val="0"/>
                <w:iCs w:val="0"/>
                <w:color w:val="auto"/>
                <w:kern w:val="0"/>
                <w:sz w:val="24"/>
                <w:szCs w:val="24"/>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3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right="53" w:rightChars="22"/>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2</w:t>
            </w:r>
          </w:p>
        </w:tc>
        <w:tc>
          <w:tcPr>
            <w:tcW w:w="62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right="53" w:rightChars="22"/>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计算机网络</w:t>
            </w:r>
          </w:p>
        </w:tc>
        <w:tc>
          <w:tcPr>
            <w:tcW w:w="180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right="53" w:rightChars="22"/>
              <w:jc w:val="left"/>
              <w:textAlignment w:val="center"/>
              <w:rPr>
                <w:rFonts w:hint="eastAsia" w:ascii="宋体" w:hAnsi="宋体" w:eastAsia="宋体" w:cs="宋体"/>
                <w:i w:val="0"/>
                <w:iCs w:val="0"/>
                <w:color w:val="auto"/>
                <w:kern w:val="0"/>
                <w:sz w:val="24"/>
                <w:szCs w:val="24"/>
                <w:highlight w:val="none"/>
                <w:u w:val="none"/>
                <w:lang w:val="en-US" w:eastAsia="zh-CN" w:bidi="ar"/>
              </w:rPr>
            </w:pPr>
          </w:p>
        </w:tc>
        <w:tc>
          <w:tcPr>
            <w:tcW w:w="13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right="53" w:rightChars="22"/>
              <w:jc w:val="left"/>
              <w:textAlignment w:val="center"/>
              <w:rPr>
                <w:rFonts w:hint="eastAsia" w:ascii="宋体" w:hAnsi="宋体" w:eastAsia="宋体" w:cs="宋体"/>
                <w:i w:val="0"/>
                <w:iCs w:val="0"/>
                <w:color w:val="auto"/>
                <w:kern w:val="0"/>
                <w:sz w:val="24"/>
                <w:szCs w:val="24"/>
                <w:highlight w:val="none"/>
                <w:u w:val="none"/>
                <w:lang w:val="en-US" w:eastAsia="zh-CN" w:bidi="ar"/>
              </w:rPr>
            </w:pPr>
          </w:p>
        </w:tc>
        <w:tc>
          <w:tcPr>
            <w:tcW w:w="78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right="-106" w:rightChars="-44"/>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1、负责整个系统设备的提供、安装、调试及试运行工作。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3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right="53" w:rightChars="22"/>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3</w:t>
            </w:r>
          </w:p>
        </w:tc>
        <w:tc>
          <w:tcPr>
            <w:tcW w:w="62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right="53" w:rightChars="22"/>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多媒体会议系统</w:t>
            </w:r>
          </w:p>
        </w:tc>
        <w:tc>
          <w:tcPr>
            <w:tcW w:w="180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right="53" w:rightChars="22"/>
              <w:jc w:val="left"/>
              <w:textAlignment w:val="center"/>
              <w:rPr>
                <w:rFonts w:hint="eastAsia" w:ascii="宋体" w:hAnsi="宋体" w:eastAsia="宋体" w:cs="宋体"/>
                <w:i w:val="0"/>
                <w:iCs w:val="0"/>
                <w:color w:val="auto"/>
                <w:kern w:val="0"/>
                <w:sz w:val="24"/>
                <w:szCs w:val="24"/>
                <w:highlight w:val="none"/>
                <w:u w:val="none"/>
                <w:lang w:val="en-US" w:eastAsia="zh-CN" w:bidi="ar"/>
              </w:rPr>
            </w:pPr>
          </w:p>
        </w:tc>
        <w:tc>
          <w:tcPr>
            <w:tcW w:w="13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right="53" w:rightChars="22"/>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1、负责整个系统设备（含线管线缆）的提供、安装、调试及试运行工作。</w:t>
            </w:r>
          </w:p>
        </w:tc>
        <w:tc>
          <w:tcPr>
            <w:tcW w:w="7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right="-106" w:rightChars="-44"/>
              <w:jc w:val="left"/>
              <w:textAlignment w:val="center"/>
              <w:rPr>
                <w:rFonts w:hint="eastAsia" w:ascii="宋体" w:hAnsi="宋体" w:eastAsia="宋体" w:cs="宋体"/>
                <w:i w:val="0"/>
                <w:iCs w:val="0"/>
                <w:color w:val="auto"/>
                <w:kern w:val="0"/>
                <w:sz w:val="24"/>
                <w:szCs w:val="24"/>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00" w:hRule="atLeast"/>
        </w:trPr>
        <w:tc>
          <w:tcPr>
            <w:tcW w:w="3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right="53" w:rightChars="22"/>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4</w:t>
            </w:r>
          </w:p>
        </w:tc>
        <w:tc>
          <w:tcPr>
            <w:tcW w:w="62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right="53" w:rightChars="22"/>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候诊呼叫系统</w:t>
            </w:r>
          </w:p>
        </w:tc>
        <w:tc>
          <w:tcPr>
            <w:tcW w:w="18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right="53" w:rightChars="22"/>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1、负责由弱电间机柜至信息插座的线路线缆的敷设，含两端网络跳线。（包括连接交换机的网络跳线、光纤跳线的理线、扎线、接线等工作）</w:t>
            </w:r>
          </w:p>
          <w:p>
            <w:pPr>
              <w:keepNext w:val="0"/>
              <w:keepLines w:val="0"/>
              <w:pageBreakBefore w:val="0"/>
              <w:widowControl/>
              <w:suppressLineNumbers w:val="0"/>
              <w:kinsoku/>
              <w:wordWrap/>
              <w:overflowPunct/>
              <w:topLinePunct w:val="0"/>
              <w:autoSpaceDE/>
              <w:autoSpaceDN/>
              <w:bidi w:val="0"/>
              <w:adjustRightInd/>
              <w:snapToGrid/>
              <w:spacing w:after="0" w:line="240" w:lineRule="auto"/>
              <w:ind w:right="53" w:rightChars="22"/>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2、负责呼叫部分的管线的敷设及设备的安装调试（功放、喇叭、话筒）。</w:t>
            </w:r>
          </w:p>
        </w:tc>
        <w:tc>
          <w:tcPr>
            <w:tcW w:w="13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right="53" w:rightChars="22"/>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1、负责整个系统设备（除功放、喇叭、话筒外）的提供、安装、调试及试运行工作。</w:t>
            </w:r>
          </w:p>
        </w:tc>
        <w:tc>
          <w:tcPr>
            <w:tcW w:w="78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right="-106" w:rightChars="-44"/>
              <w:jc w:val="left"/>
              <w:textAlignment w:val="center"/>
              <w:rPr>
                <w:rFonts w:hint="eastAsia" w:ascii="宋体" w:hAnsi="宋体" w:eastAsia="宋体" w:cs="宋体"/>
                <w:i w:val="0"/>
                <w:iCs w:val="0"/>
                <w:color w:val="auto"/>
                <w:kern w:val="0"/>
                <w:sz w:val="24"/>
                <w:szCs w:val="24"/>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3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right="53" w:rightChars="22"/>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5</w:t>
            </w:r>
          </w:p>
        </w:tc>
        <w:tc>
          <w:tcPr>
            <w:tcW w:w="62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right="53" w:rightChars="22"/>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信息发布系统</w:t>
            </w:r>
          </w:p>
        </w:tc>
        <w:tc>
          <w:tcPr>
            <w:tcW w:w="18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right="53" w:rightChars="22"/>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1、负责由弱电间机柜至信息插座的线路线缆的敷设，含两端网络跳线。（包括连接交换机的网络跳线、光纤跳线的理线、扎线、接线等工作）</w:t>
            </w:r>
          </w:p>
        </w:tc>
        <w:tc>
          <w:tcPr>
            <w:tcW w:w="13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right="53" w:rightChars="22"/>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1、负责整个系统设备的提供、安装、调试及试运行工作。</w:t>
            </w:r>
          </w:p>
        </w:tc>
        <w:tc>
          <w:tcPr>
            <w:tcW w:w="7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right="-106" w:rightChars="-44"/>
              <w:jc w:val="left"/>
              <w:textAlignment w:val="center"/>
              <w:rPr>
                <w:rFonts w:hint="eastAsia" w:ascii="宋体" w:hAnsi="宋体" w:eastAsia="宋体" w:cs="宋体"/>
                <w:i w:val="0"/>
                <w:iCs w:val="0"/>
                <w:color w:val="auto"/>
                <w:kern w:val="0"/>
                <w:sz w:val="24"/>
                <w:szCs w:val="24"/>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3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right="53" w:rightChars="22"/>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6</w:t>
            </w:r>
          </w:p>
        </w:tc>
        <w:tc>
          <w:tcPr>
            <w:tcW w:w="62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right="53" w:rightChars="22"/>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标准时钟系统</w:t>
            </w:r>
          </w:p>
        </w:tc>
        <w:tc>
          <w:tcPr>
            <w:tcW w:w="18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right="53" w:rightChars="22"/>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1、负责各子钟设备间的连网线缆及管槽的敷设。</w:t>
            </w:r>
          </w:p>
        </w:tc>
        <w:tc>
          <w:tcPr>
            <w:tcW w:w="13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right="53" w:rightChars="22"/>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1、负责整个系统设备的提供、安装、调试及试运行工作。</w:t>
            </w:r>
          </w:p>
        </w:tc>
        <w:tc>
          <w:tcPr>
            <w:tcW w:w="7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right="-106" w:rightChars="-44"/>
              <w:jc w:val="left"/>
              <w:textAlignment w:val="center"/>
              <w:rPr>
                <w:rFonts w:hint="eastAsia" w:ascii="宋体" w:hAnsi="宋体" w:eastAsia="宋体" w:cs="宋体"/>
                <w:i w:val="0"/>
                <w:iCs w:val="0"/>
                <w:color w:val="auto"/>
                <w:kern w:val="0"/>
                <w:sz w:val="24"/>
                <w:szCs w:val="24"/>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480" w:hRule="atLeast"/>
        </w:trPr>
        <w:tc>
          <w:tcPr>
            <w:tcW w:w="3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right="53" w:rightChars="22"/>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7</w:t>
            </w:r>
          </w:p>
        </w:tc>
        <w:tc>
          <w:tcPr>
            <w:tcW w:w="62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right="53" w:rightChars="22"/>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护理呼叫系统</w:t>
            </w:r>
          </w:p>
        </w:tc>
        <w:tc>
          <w:tcPr>
            <w:tcW w:w="18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numPr>
                <w:ilvl w:val="0"/>
                <w:numId w:val="3"/>
              </w:numPr>
              <w:suppressLineNumbers w:val="0"/>
              <w:kinsoku/>
              <w:wordWrap/>
              <w:overflowPunct/>
              <w:topLinePunct w:val="0"/>
              <w:autoSpaceDE/>
              <w:autoSpaceDN/>
              <w:bidi w:val="0"/>
              <w:adjustRightInd/>
              <w:snapToGrid/>
              <w:spacing w:after="0" w:line="240" w:lineRule="auto"/>
              <w:ind w:right="53" w:rightChars="22"/>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负责整个系统设备（含线管线缆）的提供、安装、调试及试运行工作。</w:t>
            </w:r>
          </w:p>
          <w:p>
            <w:pPr>
              <w:keepNext w:val="0"/>
              <w:keepLines w:val="0"/>
              <w:pageBreakBefore w:val="0"/>
              <w:widowControl/>
              <w:numPr>
                <w:ilvl w:val="0"/>
                <w:numId w:val="3"/>
              </w:numPr>
              <w:suppressLineNumbers w:val="0"/>
              <w:kinsoku/>
              <w:wordWrap/>
              <w:overflowPunct/>
              <w:topLinePunct w:val="0"/>
              <w:autoSpaceDE/>
              <w:autoSpaceDN/>
              <w:bidi w:val="0"/>
              <w:adjustRightInd/>
              <w:snapToGrid/>
              <w:spacing w:after="0" w:line="240" w:lineRule="auto"/>
              <w:ind w:right="53" w:rightChars="22"/>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cs="宋体"/>
                <w:i w:val="0"/>
                <w:iCs w:val="0"/>
                <w:color w:val="auto"/>
                <w:kern w:val="0"/>
                <w:sz w:val="24"/>
                <w:szCs w:val="24"/>
                <w:highlight w:val="none"/>
                <w:u w:val="none"/>
                <w:lang w:val="en-US" w:eastAsia="zh-CN" w:bidi="ar"/>
              </w:rPr>
              <w:t>包括出入口控制系统的人脸识终端、可视对讲门口主机、分机。</w:t>
            </w:r>
          </w:p>
        </w:tc>
        <w:tc>
          <w:tcPr>
            <w:tcW w:w="13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right="53" w:rightChars="22"/>
              <w:jc w:val="left"/>
              <w:textAlignment w:val="center"/>
              <w:rPr>
                <w:rFonts w:hint="eastAsia" w:ascii="宋体" w:hAnsi="宋体" w:eastAsia="宋体" w:cs="宋体"/>
                <w:i w:val="0"/>
                <w:iCs w:val="0"/>
                <w:color w:val="auto"/>
                <w:kern w:val="0"/>
                <w:sz w:val="24"/>
                <w:szCs w:val="24"/>
                <w:highlight w:val="none"/>
                <w:u w:val="none"/>
                <w:lang w:val="en-US" w:eastAsia="zh-CN" w:bidi="ar"/>
              </w:rPr>
            </w:pPr>
          </w:p>
        </w:tc>
        <w:tc>
          <w:tcPr>
            <w:tcW w:w="7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right="-106" w:rightChars="-44"/>
              <w:jc w:val="left"/>
              <w:textAlignment w:val="center"/>
              <w:rPr>
                <w:rFonts w:hint="eastAsia" w:ascii="宋体" w:hAnsi="宋体" w:eastAsia="宋体" w:cs="宋体"/>
                <w:i w:val="0"/>
                <w:iCs w:val="0"/>
                <w:color w:val="auto"/>
                <w:kern w:val="0"/>
                <w:sz w:val="24"/>
                <w:szCs w:val="24"/>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2" w:hRule="atLeast"/>
        </w:trPr>
        <w:tc>
          <w:tcPr>
            <w:tcW w:w="3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right="53" w:rightChars="22"/>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8</w:t>
            </w:r>
          </w:p>
        </w:tc>
        <w:tc>
          <w:tcPr>
            <w:tcW w:w="62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right="53" w:rightChars="22"/>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建筑设备控制系统</w:t>
            </w:r>
          </w:p>
        </w:tc>
        <w:tc>
          <w:tcPr>
            <w:tcW w:w="18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numPr>
                <w:ilvl w:val="0"/>
                <w:numId w:val="4"/>
              </w:numPr>
              <w:suppressLineNumbers w:val="0"/>
              <w:kinsoku/>
              <w:wordWrap/>
              <w:overflowPunct/>
              <w:topLinePunct w:val="0"/>
              <w:autoSpaceDE/>
              <w:autoSpaceDN/>
              <w:bidi w:val="0"/>
              <w:adjustRightInd/>
              <w:snapToGrid/>
              <w:spacing w:after="0" w:line="240" w:lineRule="auto"/>
              <w:ind w:right="53" w:rightChars="22"/>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负责整个系统设备（含线管线缆）的提供、安装、调试及试运行工作。</w:t>
            </w:r>
          </w:p>
          <w:p>
            <w:pPr>
              <w:keepNext w:val="0"/>
              <w:keepLines w:val="0"/>
              <w:pageBreakBefore w:val="0"/>
              <w:widowControl/>
              <w:numPr>
                <w:ilvl w:val="0"/>
                <w:numId w:val="4"/>
              </w:numPr>
              <w:suppressLineNumbers w:val="0"/>
              <w:kinsoku/>
              <w:wordWrap/>
              <w:overflowPunct/>
              <w:topLinePunct w:val="0"/>
              <w:autoSpaceDE/>
              <w:autoSpaceDN/>
              <w:bidi w:val="0"/>
              <w:adjustRightInd/>
              <w:snapToGrid/>
              <w:spacing w:after="0" w:line="240" w:lineRule="auto"/>
              <w:ind w:right="53" w:rightChars="22"/>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空调群控系统（冷水、热水、风冷热泵）控制由机电专业完成，智能化系统通过接口接入。</w:t>
            </w:r>
          </w:p>
          <w:p>
            <w:pPr>
              <w:keepNext w:val="0"/>
              <w:keepLines w:val="0"/>
              <w:pageBreakBefore w:val="0"/>
              <w:widowControl/>
              <w:numPr>
                <w:ilvl w:val="0"/>
                <w:numId w:val="4"/>
              </w:numPr>
              <w:suppressLineNumbers w:val="0"/>
              <w:kinsoku/>
              <w:wordWrap/>
              <w:overflowPunct/>
              <w:topLinePunct w:val="0"/>
              <w:autoSpaceDE/>
              <w:autoSpaceDN/>
              <w:bidi w:val="0"/>
              <w:adjustRightInd/>
              <w:snapToGrid/>
              <w:spacing w:after="0" w:line="240" w:lineRule="auto"/>
              <w:ind w:right="53" w:rightChars="22"/>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cs="宋体"/>
                <w:i w:val="0"/>
                <w:iCs w:val="0"/>
                <w:color w:val="auto"/>
                <w:kern w:val="0"/>
                <w:sz w:val="24"/>
                <w:szCs w:val="24"/>
                <w:highlight w:val="none"/>
                <w:u w:val="none"/>
                <w:lang w:val="en-US" w:eastAsia="zh-CN" w:bidi="ar"/>
              </w:rPr>
              <w:t>包括数字视频安防监控系统的48路磁盘阵列、6T硬盘、10T硬盘。</w:t>
            </w:r>
          </w:p>
          <w:p>
            <w:pPr>
              <w:keepNext w:val="0"/>
              <w:keepLines w:val="0"/>
              <w:pageBreakBefore w:val="0"/>
              <w:widowControl/>
              <w:numPr>
                <w:ilvl w:val="0"/>
                <w:numId w:val="4"/>
              </w:numPr>
              <w:suppressLineNumbers w:val="0"/>
              <w:kinsoku/>
              <w:wordWrap/>
              <w:overflowPunct/>
              <w:topLinePunct w:val="0"/>
              <w:autoSpaceDE/>
              <w:autoSpaceDN/>
              <w:bidi w:val="0"/>
              <w:adjustRightInd/>
              <w:snapToGrid/>
              <w:spacing w:after="0" w:line="240" w:lineRule="auto"/>
              <w:ind w:right="53" w:rightChars="22"/>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cs="宋体"/>
                <w:i w:val="0"/>
                <w:iCs w:val="0"/>
                <w:color w:val="auto"/>
                <w:kern w:val="0"/>
                <w:sz w:val="24"/>
                <w:szCs w:val="24"/>
                <w:highlight w:val="none"/>
                <w:u w:val="none"/>
                <w:lang w:val="en-US" w:eastAsia="zh-CN" w:bidi="ar"/>
              </w:rPr>
              <w:t>包括出入口控制系统的RVVP-6*0.75MM2、RVV-3*1.5MM2，DN20的钢管。</w:t>
            </w:r>
          </w:p>
        </w:tc>
        <w:tc>
          <w:tcPr>
            <w:tcW w:w="13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right="53" w:rightChars="22"/>
              <w:jc w:val="left"/>
              <w:textAlignment w:val="center"/>
              <w:rPr>
                <w:rFonts w:hint="eastAsia" w:ascii="宋体" w:hAnsi="宋体" w:eastAsia="宋体" w:cs="宋体"/>
                <w:i w:val="0"/>
                <w:iCs w:val="0"/>
                <w:color w:val="auto"/>
                <w:kern w:val="0"/>
                <w:sz w:val="24"/>
                <w:szCs w:val="24"/>
                <w:highlight w:val="none"/>
                <w:u w:val="none"/>
                <w:lang w:val="en-US" w:eastAsia="zh-CN" w:bidi="ar"/>
              </w:rPr>
            </w:pPr>
          </w:p>
        </w:tc>
        <w:tc>
          <w:tcPr>
            <w:tcW w:w="7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right="-106" w:rightChars="-44"/>
              <w:jc w:val="left"/>
              <w:textAlignment w:val="center"/>
              <w:rPr>
                <w:rFonts w:hint="eastAsia" w:ascii="宋体" w:hAnsi="宋体" w:eastAsia="宋体" w:cs="宋体"/>
                <w:i w:val="0"/>
                <w:iCs w:val="0"/>
                <w:color w:val="auto"/>
                <w:kern w:val="0"/>
                <w:sz w:val="24"/>
                <w:szCs w:val="24"/>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3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right="53" w:rightChars="22"/>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9</w:t>
            </w:r>
          </w:p>
        </w:tc>
        <w:tc>
          <w:tcPr>
            <w:tcW w:w="62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right="53" w:rightChars="22"/>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风机盘管节能联网系统</w:t>
            </w:r>
          </w:p>
        </w:tc>
        <w:tc>
          <w:tcPr>
            <w:tcW w:w="18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right="53" w:rightChars="22"/>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1、负责整个系统设备（含线管线缆）的提供、安装、调试及试运行工作。</w:t>
            </w:r>
          </w:p>
        </w:tc>
        <w:tc>
          <w:tcPr>
            <w:tcW w:w="13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right="53" w:rightChars="22"/>
              <w:jc w:val="left"/>
              <w:textAlignment w:val="center"/>
              <w:rPr>
                <w:rFonts w:hint="eastAsia" w:ascii="宋体" w:hAnsi="宋体" w:eastAsia="宋体" w:cs="宋体"/>
                <w:i w:val="0"/>
                <w:iCs w:val="0"/>
                <w:color w:val="auto"/>
                <w:kern w:val="0"/>
                <w:sz w:val="24"/>
                <w:szCs w:val="24"/>
                <w:highlight w:val="none"/>
                <w:u w:val="none"/>
                <w:lang w:val="en-US" w:eastAsia="zh-CN" w:bidi="ar"/>
              </w:rPr>
            </w:pPr>
          </w:p>
        </w:tc>
        <w:tc>
          <w:tcPr>
            <w:tcW w:w="7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right="-106" w:rightChars="-44"/>
              <w:jc w:val="left"/>
              <w:textAlignment w:val="center"/>
              <w:rPr>
                <w:rFonts w:hint="eastAsia" w:ascii="宋体" w:hAnsi="宋体" w:eastAsia="宋体" w:cs="宋体"/>
                <w:i w:val="0"/>
                <w:iCs w:val="0"/>
                <w:color w:val="auto"/>
                <w:kern w:val="0"/>
                <w:sz w:val="24"/>
                <w:szCs w:val="24"/>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3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right="53" w:rightChars="22"/>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10</w:t>
            </w:r>
          </w:p>
        </w:tc>
        <w:tc>
          <w:tcPr>
            <w:tcW w:w="62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right="53" w:rightChars="22"/>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建筑能耗系统</w:t>
            </w:r>
          </w:p>
        </w:tc>
        <w:tc>
          <w:tcPr>
            <w:tcW w:w="18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numPr>
                <w:ilvl w:val="0"/>
                <w:numId w:val="5"/>
              </w:numPr>
              <w:suppressLineNumbers w:val="0"/>
              <w:kinsoku/>
              <w:wordWrap/>
              <w:overflowPunct/>
              <w:topLinePunct w:val="0"/>
              <w:autoSpaceDE/>
              <w:autoSpaceDN/>
              <w:bidi w:val="0"/>
              <w:adjustRightInd/>
              <w:snapToGrid/>
              <w:spacing w:after="0" w:line="240" w:lineRule="auto"/>
              <w:ind w:right="53" w:rightChars="22"/>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负责整个系统设备（含线管线缆）的提供、安装、调试及试运行工作。</w:t>
            </w:r>
            <w:r>
              <w:rPr>
                <w:rFonts w:hint="eastAsia" w:cs="宋体"/>
                <w:i w:val="0"/>
                <w:iCs w:val="0"/>
                <w:color w:val="auto"/>
                <w:kern w:val="0"/>
                <w:sz w:val="24"/>
                <w:szCs w:val="24"/>
                <w:highlight w:val="none"/>
                <w:u w:val="none"/>
                <w:lang w:val="en-US" w:eastAsia="zh-CN" w:bidi="ar"/>
              </w:rPr>
              <w:t>（包括接入原医院平台的扩容、对接、调试等费用）</w:t>
            </w:r>
          </w:p>
          <w:p>
            <w:pPr>
              <w:keepNext w:val="0"/>
              <w:keepLines w:val="0"/>
              <w:pageBreakBefore w:val="0"/>
              <w:widowControl/>
              <w:numPr>
                <w:ilvl w:val="0"/>
                <w:numId w:val="5"/>
              </w:numPr>
              <w:suppressLineNumbers w:val="0"/>
              <w:kinsoku/>
              <w:wordWrap/>
              <w:overflowPunct/>
              <w:topLinePunct w:val="0"/>
              <w:autoSpaceDE/>
              <w:autoSpaceDN/>
              <w:bidi w:val="0"/>
              <w:adjustRightInd/>
              <w:snapToGrid/>
              <w:spacing w:after="0" w:line="240" w:lineRule="auto"/>
              <w:ind w:right="53" w:rightChars="22"/>
              <w:jc w:val="left"/>
              <w:textAlignment w:val="center"/>
              <w:rPr>
                <w:rFonts w:hint="default"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远传水表、冷量表、电表由机电专业提供，并满足智能化的协议要求，智能化专业负责布线组网，读取水表、冷量表数据；电表部分由电气专业自成系统，通过接口的方式接入智能化能耗管理系统，水表、冷量表由智能化专业提供采集器，并敷设管线，接入现有的后勤管理平台。</w:t>
            </w:r>
          </w:p>
        </w:tc>
        <w:tc>
          <w:tcPr>
            <w:tcW w:w="13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right="53" w:rightChars="22"/>
              <w:jc w:val="left"/>
              <w:textAlignment w:val="center"/>
              <w:rPr>
                <w:rFonts w:hint="eastAsia" w:ascii="宋体" w:hAnsi="宋体" w:eastAsia="宋体" w:cs="宋体"/>
                <w:i w:val="0"/>
                <w:iCs w:val="0"/>
                <w:color w:val="auto"/>
                <w:kern w:val="0"/>
                <w:sz w:val="24"/>
                <w:szCs w:val="24"/>
                <w:highlight w:val="none"/>
                <w:u w:val="none"/>
                <w:lang w:val="en-US" w:eastAsia="zh-CN" w:bidi="ar"/>
              </w:rPr>
            </w:pPr>
          </w:p>
        </w:tc>
        <w:tc>
          <w:tcPr>
            <w:tcW w:w="7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right="-106" w:rightChars="-44"/>
              <w:jc w:val="left"/>
              <w:textAlignment w:val="center"/>
              <w:rPr>
                <w:rFonts w:hint="eastAsia" w:ascii="宋体" w:hAnsi="宋体" w:eastAsia="宋体" w:cs="宋体"/>
                <w:i w:val="0"/>
                <w:iCs w:val="0"/>
                <w:color w:val="auto"/>
                <w:kern w:val="0"/>
                <w:sz w:val="24"/>
                <w:szCs w:val="24"/>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3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right="53" w:rightChars="22"/>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11</w:t>
            </w:r>
          </w:p>
        </w:tc>
        <w:tc>
          <w:tcPr>
            <w:tcW w:w="62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right="53" w:rightChars="22"/>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数字视频安防监控</w:t>
            </w:r>
          </w:p>
        </w:tc>
        <w:tc>
          <w:tcPr>
            <w:tcW w:w="18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numPr>
                <w:ilvl w:val="0"/>
                <w:numId w:val="6"/>
              </w:numPr>
              <w:suppressLineNumbers w:val="0"/>
              <w:kinsoku/>
              <w:wordWrap/>
              <w:overflowPunct/>
              <w:topLinePunct w:val="0"/>
              <w:autoSpaceDE/>
              <w:autoSpaceDN/>
              <w:bidi w:val="0"/>
              <w:adjustRightInd/>
              <w:snapToGrid/>
              <w:spacing w:after="0" w:line="240" w:lineRule="auto"/>
              <w:ind w:right="53" w:rightChars="22"/>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负责整个系统设备（含线管线缆）的提供、安装、调试及试运行工作。</w:t>
            </w:r>
          </w:p>
          <w:p>
            <w:pPr>
              <w:keepNext w:val="0"/>
              <w:keepLines w:val="0"/>
              <w:pageBreakBefore w:val="0"/>
              <w:widowControl/>
              <w:numPr>
                <w:ilvl w:val="0"/>
                <w:numId w:val="6"/>
              </w:numPr>
              <w:suppressLineNumbers w:val="0"/>
              <w:kinsoku/>
              <w:wordWrap/>
              <w:overflowPunct/>
              <w:topLinePunct w:val="0"/>
              <w:autoSpaceDE/>
              <w:autoSpaceDN/>
              <w:bidi w:val="0"/>
              <w:adjustRightInd/>
              <w:snapToGrid/>
              <w:spacing w:after="0" w:line="240" w:lineRule="auto"/>
              <w:ind w:right="6" w:right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还需预留其他楼栋的接入，实现全院的系统整合。</w:t>
            </w:r>
          </w:p>
          <w:p>
            <w:pPr>
              <w:keepNext w:val="0"/>
              <w:keepLines w:val="0"/>
              <w:pageBreakBefore w:val="0"/>
              <w:widowControl/>
              <w:numPr>
                <w:ilvl w:val="0"/>
                <w:numId w:val="6"/>
              </w:numPr>
              <w:suppressLineNumbers w:val="0"/>
              <w:kinsoku/>
              <w:wordWrap/>
              <w:overflowPunct/>
              <w:topLinePunct w:val="0"/>
              <w:autoSpaceDE/>
              <w:autoSpaceDN/>
              <w:bidi w:val="0"/>
              <w:adjustRightInd/>
              <w:snapToGrid/>
              <w:spacing w:after="0" w:line="240" w:lineRule="auto"/>
              <w:ind w:right="6" w:right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cs="宋体"/>
                <w:i w:val="0"/>
                <w:iCs w:val="0"/>
                <w:color w:val="auto"/>
                <w:kern w:val="0"/>
                <w:sz w:val="24"/>
                <w:szCs w:val="24"/>
                <w:highlight w:val="none"/>
                <w:u w:val="none"/>
                <w:lang w:val="en-US" w:eastAsia="zh-CN" w:bidi="ar"/>
              </w:rPr>
              <w:t>该系统的单口设备网监控信息插座、网线以及相关的钢管由划分至综合布线系统。</w:t>
            </w:r>
          </w:p>
          <w:p>
            <w:pPr>
              <w:keepNext w:val="0"/>
              <w:keepLines w:val="0"/>
              <w:pageBreakBefore w:val="0"/>
              <w:widowControl/>
              <w:numPr>
                <w:ilvl w:val="0"/>
                <w:numId w:val="6"/>
              </w:numPr>
              <w:suppressLineNumbers w:val="0"/>
              <w:kinsoku/>
              <w:wordWrap/>
              <w:overflowPunct/>
              <w:topLinePunct w:val="0"/>
              <w:autoSpaceDE/>
              <w:autoSpaceDN/>
              <w:bidi w:val="0"/>
              <w:adjustRightInd/>
              <w:snapToGrid/>
              <w:spacing w:after="0" w:line="240" w:lineRule="auto"/>
              <w:ind w:right="6" w:right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cs="宋体"/>
                <w:i w:val="0"/>
                <w:iCs w:val="0"/>
                <w:color w:val="auto"/>
                <w:kern w:val="0"/>
                <w:sz w:val="24"/>
                <w:szCs w:val="24"/>
                <w:highlight w:val="none"/>
                <w:u w:val="none"/>
                <w:lang w:val="en-US" w:eastAsia="zh-CN" w:bidi="ar"/>
              </w:rPr>
              <w:t>48路磁盘阵列、6T硬盘、10T硬盘划分至建筑设备控制系统。</w:t>
            </w:r>
          </w:p>
        </w:tc>
        <w:tc>
          <w:tcPr>
            <w:tcW w:w="13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right="53" w:rightChars="22"/>
              <w:jc w:val="left"/>
              <w:textAlignment w:val="center"/>
              <w:rPr>
                <w:rFonts w:hint="eastAsia" w:ascii="宋体" w:hAnsi="宋体" w:eastAsia="宋体" w:cs="宋体"/>
                <w:i w:val="0"/>
                <w:iCs w:val="0"/>
                <w:color w:val="auto"/>
                <w:kern w:val="0"/>
                <w:sz w:val="24"/>
                <w:szCs w:val="24"/>
                <w:highlight w:val="none"/>
                <w:u w:val="none"/>
                <w:lang w:val="en-US" w:eastAsia="zh-CN" w:bidi="ar"/>
              </w:rPr>
            </w:pPr>
          </w:p>
        </w:tc>
        <w:tc>
          <w:tcPr>
            <w:tcW w:w="7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right="-106" w:rightChars="-44"/>
              <w:jc w:val="left"/>
              <w:textAlignment w:val="center"/>
              <w:rPr>
                <w:rFonts w:hint="eastAsia" w:ascii="宋体" w:hAnsi="宋体" w:eastAsia="宋体" w:cs="宋体"/>
                <w:i w:val="0"/>
                <w:iCs w:val="0"/>
                <w:color w:val="auto"/>
                <w:kern w:val="0"/>
                <w:sz w:val="24"/>
                <w:szCs w:val="24"/>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3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right="53" w:rightChars="22"/>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12</w:t>
            </w:r>
          </w:p>
        </w:tc>
        <w:tc>
          <w:tcPr>
            <w:tcW w:w="62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right="53" w:rightChars="22"/>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出入口控制系统</w:t>
            </w:r>
          </w:p>
        </w:tc>
        <w:tc>
          <w:tcPr>
            <w:tcW w:w="18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numPr>
                <w:ilvl w:val="0"/>
                <w:numId w:val="7"/>
              </w:numPr>
              <w:suppressLineNumbers w:val="0"/>
              <w:kinsoku/>
              <w:wordWrap/>
              <w:overflowPunct/>
              <w:topLinePunct w:val="0"/>
              <w:autoSpaceDE/>
              <w:autoSpaceDN/>
              <w:bidi w:val="0"/>
              <w:adjustRightInd/>
              <w:snapToGrid/>
              <w:spacing w:after="0" w:line="240" w:lineRule="auto"/>
              <w:ind w:right="53" w:rightChars="22"/>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负责整个系统设备（含线管线缆）的提供、安装、调试及试运行工作。</w:t>
            </w:r>
          </w:p>
          <w:p>
            <w:pPr>
              <w:keepNext w:val="0"/>
              <w:keepLines w:val="0"/>
              <w:pageBreakBefore w:val="0"/>
              <w:widowControl/>
              <w:numPr>
                <w:ilvl w:val="0"/>
                <w:numId w:val="7"/>
              </w:numPr>
              <w:suppressLineNumbers w:val="0"/>
              <w:kinsoku/>
              <w:wordWrap/>
              <w:overflowPunct/>
              <w:topLinePunct w:val="0"/>
              <w:autoSpaceDE/>
              <w:autoSpaceDN/>
              <w:bidi w:val="0"/>
              <w:adjustRightInd/>
              <w:snapToGrid/>
              <w:spacing w:after="0" w:line="240" w:lineRule="auto"/>
              <w:ind w:right="53" w:rightChars="22"/>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采用原一卡系统平台，为接入医院现一卡通系统平台，相应门禁系统应采用同一品牌产品，与原医院系统无缝对接。</w:t>
            </w:r>
          </w:p>
          <w:p>
            <w:pPr>
              <w:keepNext w:val="0"/>
              <w:keepLines w:val="0"/>
              <w:pageBreakBefore w:val="0"/>
              <w:widowControl/>
              <w:numPr>
                <w:ilvl w:val="0"/>
                <w:numId w:val="7"/>
              </w:numPr>
              <w:suppressLineNumbers w:val="0"/>
              <w:kinsoku/>
              <w:wordWrap/>
              <w:overflowPunct/>
              <w:topLinePunct w:val="0"/>
              <w:autoSpaceDE/>
              <w:autoSpaceDN/>
              <w:bidi w:val="0"/>
              <w:adjustRightInd/>
              <w:snapToGrid/>
              <w:spacing w:after="0" w:line="240" w:lineRule="auto"/>
              <w:ind w:right="53" w:rightChars="22"/>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cs="宋体"/>
                <w:i w:val="0"/>
                <w:iCs w:val="0"/>
                <w:color w:val="auto"/>
                <w:kern w:val="0"/>
                <w:sz w:val="24"/>
                <w:szCs w:val="24"/>
                <w:highlight w:val="none"/>
                <w:u w:val="none"/>
                <w:lang w:val="en-US" w:eastAsia="zh-CN" w:bidi="ar"/>
              </w:rPr>
              <w:t>该系统的RVVP-6*0.75MM2、RVV-3*1.5MM2，DN20的钢管划分至建筑设备控制系统。</w:t>
            </w:r>
          </w:p>
          <w:p>
            <w:pPr>
              <w:keepNext w:val="0"/>
              <w:keepLines w:val="0"/>
              <w:pageBreakBefore w:val="0"/>
              <w:widowControl/>
              <w:numPr>
                <w:ilvl w:val="0"/>
                <w:numId w:val="7"/>
              </w:numPr>
              <w:suppressLineNumbers w:val="0"/>
              <w:kinsoku/>
              <w:wordWrap/>
              <w:overflowPunct/>
              <w:topLinePunct w:val="0"/>
              <w:autoSpaceDE/>
              <w:autoSpaceDN/>
              <w:bidi w:val="0"/>
              <w:adjustRightInd/>
              <w:snapToGrid/>
              <w:spacing w:after="0" w:line="240" w:lineRule="auto"/>
              <w:ind w:right="53" w:rightChars="22"/>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cs="宋体"/>
                <w:i w:val="0"/>
                <w:iCs w:val="0"/>
                <w:color w:val="auto"/>
                <w:kern w:val="0"/>
                <w:sz w:val="24"/>
                <w:szCs w:val="24"/>
                <w:highlight w:val="none"/>
                <w:u w:val="none"/>
                <w:lang w:val="en-US" w:eastAsia="zh-CN" w:bidi="ar"/>
              </w:rPr>
              <w:t>该系统的人脸识别终端、可视对讲门口机主、分机划分至护理呼叫信号系统。</w:t>
            </w:r>
          </w:p>
        </w:tc>
        <w:tc>
          <w:tcPr>
            <w:tcW w:w="13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right="53" w:rightChars="22"/>
              <w:jc w:val="left"/>
              <w:textAlignment w:val="center"/>
              <w:rPr>
                <w:rFonts w:hint="eastAsia" w:ascii="宋体" w:hAnsi="宋体" w:eastAsia="宋体" w:cs="宋体"/>
                <w:i w:val="0"/>
                <w:iCs w:val="0"/>
                <w:color w:val="auto"/>
                <w:kern w:val="0"/>
                <w:sz w:val="24"/>
                <w:szCs w:val="24"/>
                <w:highlight w:val="none"/>
                <w:u w:val="none"/>
                <w:lang w:val="en-US" w:eastAsia="zh-CN" w:bidi="ar"/>
              </w:rPr>
            </w:pPr>
          </w:p>
        </w:tc>
        <w:tc>
          <w:tcPr>
            <w:tcW w:w="7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right="-106" w:rightChars="-44"/>
              <w:jc w:val="left"/>
              <w:textAlignment w:val="center"/>
              <w:rPr>
                <w:rFonts w:hint="eastAsia" w:ascii="宋体" w:hAnsi="宋体" w:eastAsia="宋体" w:cs="宋体"/>
                <w:i w:val="0"/>
                <w:iCs w:val="0"/>
                <w:color w:val="auto"/>
                <w:kern w:val="0"/>
                <w:sz w:val="24"/>
                <w:szCs w:val="24"/>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3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right="53" w:rightChars="22"/>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13</w:t>
            </w:r>
          </w:p>
        </w:tc>
        <w:tc>
          <w:tcPr>
            <w:tcW w:w="62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right="53" w:rightChars="22"/>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入侵报警系统</w:t>
            </w:r>
          </w:p>
        </w:tc>
        <w:tc>
          <w:tcPr>
            <w:tcW w:w="18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after="0" w:line="240" w:lineRule="auto"/>
              <w:ind w:left="108" w:leftChars="0" w:right="53" w:rightChars="22"/>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1、负责整个系统设备（含线管线缆）的提供、安装、调试及试运行工作。</w:t>
            </w:r>
          </w:p>
          <w:p>
            <w:pPr>
              <w:keepNext w:val="0"/>
              <w:keepLines w:val="0"/>
              <w:pageBreakBefore w:val="0"/>
              <w:widowControl/>
              <w:suppressLineNumbers w:val="0"/>
              <w:kinsoku/>
              <w:wordWrap/>
              <w:overflowPunct/>
              <w:topLinePunct w:val="0"/>
              <w:autoSpaceDE/>
              <w:autoSpaceDN/>
              <w:bidi w:val="0"/>
              <w:adjustRightInd/>
              <w:snapToGrid/>
              <w:spacing w:after="0" w:line="240" w:lineRule="auto"/>
              <w:ind w:right="53" w:rightChars="22"/>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2、还需预留其他楼栋的接入，实现全院的系统整合。</w:t>
            </w:r>
          </w:p>
        </w:tc>
        <w:tc>
          <w:tcPr>
            <w:tcW w:w="13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right="53" w:rightChars="22"/>
              <w:jc w:val="left"/>
              <w:textAlignment w:val="center"/>
              <w:rPr>
                <w:rFonts w:hint="eastAsia" w:ascii="宋体" w:hAnsi="宋体" w:eastAsia="宋体" w:cs="宋体"/>
                <w:i w:val="0"/>
                <w:iCs w:val="0"/>
                <w:color w:val="auto"/>
                <w:kern w:val="0"/>
                <w:sz w:val="24"/>
                <w:szCs w:val="24"/>
                <w:highlight w:val="none"/>
                <w:u w:val="none"/>
                <w:lang w:val="en-US" w:eastAsia="zh-CN" w:bidi="ar"/>
              </w:rPr>
            </w:pPr>
          </w:p>
        </w:tc>
        <w:tc>
          <w:tcPr>
            <w:tcW w:w="7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right="-106" w:rightChars="-44"/>
              <w:jc w:val="left"/>
              <w:textAlignment w:val="center"/>
              <w:rPr>
                <w:rFonts w:hint="eastAsia" w:ascii="宋体" w:hAnsi="宋体" w:eastAsia="宋体" w:cs="宋体"/>
                <w:i w:val="0"/>
                <w:iCs w:val="0"/>
                <w:color w:val="auto"/>
                <w:kern w:val="0"/>
                <w:sz w:val="24"/>
                <w:szCs w:val="24"/>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3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right="53" w:rightChars="22"/>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15</w:t>
            </w:r>
          </w:p>
        </w:tc>
        <w:tc>
          <w:tcPr>
            <w:tcW w:w="62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right="53" w:rightChars="22"/>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公共广播系统</w:t>
            </w:r>
          </w:p>
        </w:tc>
        <w:tc>
          <w:tcPr>
            <w:tcW w:w="18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right="53" w:rightChars="22"/>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1、负责整个系统设备（含线管线缆）的提供、安装、调试及试运行工作。</w:t>
            </w:r>
          </w:p>
        </w:tc>
        <w:tc>
          <w:tcPr>
            <w:tcW w:w="13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right="53" w:rightChars="22"/>
              <w:jc w:val="left"/>
              <w:textAlignment w:val="center"/>
              <w:rPr>
                <w:rFonts w:hint="eastAsia" w:ascii="宋体" w:hAnsi="宋体" w:eastAsia="宋体" w:cs="宋体"/>
                <w:i w:val="0"/>
                <w:iCs w:val="0"/>
                <w:color w:val="auto"/>
                <w:kern w:val="0"/>
                <w:sz w:val="24"/>
                <w:szCs w:val="24"/>
                <w:highlight w:val="none"/>
                <w:u w:val="none"/>
                <w:lang w:val="en-US" w:eastAsia="zh-CN" w:bidi="ar"/>
              </w:rPr>
            </w:pPr>
          </w:p>
        </w:tc>
        <w:tc>
          <w:tcPr>
            <w:tcW w:w="7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right="-106" w:rightChars="-44"/>
              <w:jc w:val="left"/>
              <w:textAlignment w:val="center"/>
              <w:rPr>
                <w:rFonts w:hint="eastAsia" w:ascii="宋体" w:hAnsi="宋体" w:eastAsia="宋体" w:cs="宋体"/>
                <w:i w:val="0"/>
                <w:iCs w:val="0"/>
                <w:color w:val="auto"/>
                <w:kern w:val="0"/>
                <w:sz w:val="24"/>
                <w:szCs w:val="24"/>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0" w:hRule="atLeast"/>
        </w:trPr>
        <w:tc>
          <w:tcPr>
            <w:tcW w:w="3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right="53" w:rightChars="22"/>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15</w:t>
            </w:r>
          </w:p>
        </w:tc>
        <w:tc>
          <w:tcPr>
            <w:tcW w:w="62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right="53" w:rightChars="22"/>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可视化物联网系统</w:t>
            </w:r>
          </w:p>
        </w:tc>
        <w:tc>
          <w:tcPr>
            <w:tcW w:w="18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right="53" w:rightChars="22"/>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1、负责由弱电间机柜至信息插座的线路线缆的敷设，含两端网络跳线</w:t>
            </w:r>
            <w:r>
              <w:rPr>
                <w:rFonts w:hint="eastAsia" w:cs="宋体"/>
                <w:i w:val="0"/>
                <w:iCs w:val="0"/>
                <w:color w:val="auto"/>
                <w:kern w:val="0"/>
                <w:sz w:val="24"/>
                <w:szCs w:val="24"/>
                <w:highlight w:val="none"/>
                <w:u w:val="none"/>
                <w:lang w:val="en-US" w:eastAsia="zh-CN" w:bidi="ar"/>
              </w:rPr>
              <w:t>。</w:t>
            </w:r>
            <w:r>
              <w:rPr>
                <w:rFonts w:hint="eastAsia" w:ascii="宋体" w:hAnsi="宋体" w:eastAsia="宋体" w:cs="宋体"/>
                <w:i w:val="0"/>
                <w:iCs w:val="0"/>
                <w:color w:val="auto"/>
                <w:kern w:val="0"/>
                <w:sz w:val="24"/>
                <w:szCs w:val="24"/>
                <w:highlight w:val="none"/>
                <w:u w:val="none"/>
                <w:lang w:val="en-US" w:eastAsia="zh-CN" w:bidi="ar"/>
              </w:rPr>
              <w:t>（包括连接交换机的网络跳线、光纤跳线的理线、扎线、接线等工作）</w:t>
            </w:r>
          </w:p>
        </w:tc>
        <w:tc>
          <w:tcPr>
            <w:tcW w:w="13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right="53" w:rightChars="22"/>
              <w:jc w:val="left"/>
              <w:textAlignment w:val="center"/>
              <w:rPr>
                <w:rFonts w:hint="eastAsia" w:ascii="宋体" w:hAnsi="宋体" w:eastAsia="宋体" w:cs="宋体"/>
                <w:i w:val="0"/>
                <w:iCs w:val="0"/>
                <w:color w:val="auto"/>
                <w:kern w:val="0"/>
                <w:sz w:val="24"/>
                <w:szCs w:val="24"/>
                <w:highlight w:val="none"/>
                <w:u w:val="none"/>
                <w:lang w:val="en-US" w:eastAsia="zh-CN" w:bidi="ar"/>
              </w:rPr>
            </w:pPr>
          </w:p>
        </w:tc>
        <w:tc>
          <w:tcPr>
            <w:tcW w:w="7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right="-106" w:rightChars="-44"/>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1、负责整个系统设备的提供、安装、调试及试运行工作。</w:t>
            </w:r>
          </w:p>
          <w:p>
            <w:pPr>
              <w:keepNext w:val="0"/>
              <w:keepLines w:val="0"/>
              <w:pageBreakBefore w:val="0"/>
              <w:widowControl/>
              <w:suppressLineNumbers w:val="0"/>
              <w:kinsoku/>
              <w:wordWrap/>
              <w:overflowPunct/>
              <w:topLinePunct w:val="0"/>
              <w:autoSpaceDE/>
              <w:autoSpaceDN/>
              <w:bidi w:val="0"/>
              <w:adjustRightInd/>
              <w:snapToGrid/>
              <w:spacing w:after="0" w:line="240" w:lineRule="auto"/>
              <w:ind w:right="-106" w:rightChars="-44"/>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2、负责可视化物联网基站至物联网扩展盒的线路线缆的敷设。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1" w:hRule="atLeast"/>
        </w:trPr>
        <w:tc>
          <w:tcPr>
            <w:tcW w:w="3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right="53" w:rightChars="22"/>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16</w:t>
            </w:r>
          </w:p>
        </w:tc>
        <w:tc>
          <w:tcPr>
            <w:tcW w:w="62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right="53" w:rightChars="22"/>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物联协同运营平台</w:t>
            </w:r>
          </w:p>
        </w:tc>
        <w:tc>
          <w:tcPr>
            <w:tcW w:w="180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right="53" w:rightChars="22"/>
              <w:jc w:val="left"/>
              <w:textAlignment w:val="center"/>
              <w:rPr>
                <w:rFonts w:hint="eastAsia" w:ascii="宋体" w:hAnsi="宋体" w:eastAsia="宋体" w:cs="宋体"/>
                <w:i w:val="0"/>
                <w:iCs w:val="0"/>
                <w:color w:val="auto"/>
                <w:kern w:val="0"/>
                <w:sz w:val="24"/>
                <w:szCs w:val="24"/>
                <w:highlight w:val="none"/>
                <w:u w:val="none"/>
                <w:lang w:val="en-US" w:eastAsia="zh-CN" w:bidi="ar"/>
              </w:rPr>
            </w:pPr>
          </w:p>
        </w:tc>
        <w:tc>
          <w:tcPr>
            <w:tcW w:w="13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right="53" w:rightChars="22"/>
              <w:jc w:val="left"/>
              <w:textAlignment w:val="center"/>
              <w:rPr>
                <w:rFonts w:hint="eastAsia" w:ascii="宋体" w:hAnsi="宋体" w:eastAsia="宋体" w:cs="宋体"/>
                <w:i w:val="0"/>
                <w:iCs w:val="0"/>
                <w:color w:val="auto"/>
                <w:kern w:val="0"/>
                <w:sz w:val="24"/>
                <w:szCs w:val="24"/>
                <w:highlight w:val="none"/>
                <w:u w:val="none"/>
                <w:lang w:val="en-US" w:eastAsia="zh-CN" w:bidi="ar"/>
              </w:rPr>
            </w:pPr>
          </w:p>
        </w:tc>
        <w:tc>
          <w:tcPr>
            <w:tcW w:w="78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right="-106" w:rightChars="-44"/>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1、负责整个系统设备的提供、安装、调试及试运行工作。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0" w:hRule="atLeast"/>
        </w:trPr>
        <w:tc>
          <w:tcPr>
            <w:tcW w:w="3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right="53" w:rightChars="22"/>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17</w:t>
            </w:r>
          </w:p>
        </w:tc>
        <w:tc>
          <w:tcPr>
            <w:tcW w:w="62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right="53" w:rightChars="22"/>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机房工程</w:t>
            </w:r>
          </w:p>
        </w:tc>
        <w:tc>
          <w:tcPr>
            <w:tcW w:w="18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right="53" w:rightChars="22"/>
              <w:jc w:val="left"/>
              <w:textAlignment w:val="center"/>
              <w:rPr>
                <w:rFonts w:hint="eastAsia" w:ascii="宋体" w:hAnsi="宋体" w:eastAsia="宋体" w:cs="宋体"/>
                <w:i w:val="0"/>
                <w:iCs w:val="0"/>
                <w:color w:val="auto"/>
                <w:kern w:val="0"/>
                <w:sz w:val="24"/>
                <w:szCs w:val="24"/>
                <w:highlight w:val="none"/>
                <w:u w:val="none"/>
                <w:lang w:val="en-US" w:eastAsia="zh-CN" w:bidi="ar"/>
              </w:rPr>
            </w:pPr>
          </w:p>
        </w:tc>
        <w:tc>
          <w:tcPr>
            <w:tcW w:w="13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right="53" w:rightChars="22"/>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1、负责机房内机房装饰、电气工程、暖通空调、综合布线工程、环境监控、机柜系统（含线管线缆）的提供、安装、调试及试运行工作。</w:t>
            </w:r>
          </w:p>
          <w:p>
            <w:pPr>
              <w:keepNext w:val="0"/>
              <w:keepLines w:val="0"/>
              <w:pageBreakBefore w:val="0"/>
              <w:widowControl/>
              <w:suppressLineNumbers w:val="0"/>
              <w:kinsoku/>
              <w:wordWrap/>
              <w:overflowPunct/>
              <w:topLinePunct w:val="0"/>
              <w:autoSpaceDE/>
              <w:autoSpaceDN/>
              <w:bidi w:val="0"/>
              <w:adjustRightInd/>
              <w:snapToGrid/>
              <w:spacing w:after="0" w:line="240" w:lineRule="auto"/>
              <w:ind w:right="53" w:rightChars="22"/>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2、负责机房至弱电间配电箱的电力电缆、管槽的敷设。</w:t>
            </w:r>
          </w:p>
        </w:tc>
        <w:tc>
          <w:tcPr>
            <w:tcW w:w="7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right="53" w:rightChars="22"/>
              <w:jc w:val="left"/>
              <w:textAlignment w:val="center"/>
              <w:rPr>
                <w:rFonts w:hint="eastAsia" w:ascii="宋体" w:hAnsi="宋体" w:eastAsia="宋体" w:cs="宋体"/>
                <w:i w:val="0"/>
                <w:iCs w:val="0"/>
                <w:color w:val="auto"/>
                <w:kern w:val="0"/>
                <w:sz w:val="24"/>
                <w:szCs w:val="24"/>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678" w:hRule="atLeast"/>
        </w:trPr>
        <w:tc>
          <w:tcPr>
            <w:tcW w:w="3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right="53" w:rightChars="22"/>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18</w:t>
            </w:r>
          </w:p>
        </w:tc>
        <w:tc>
          <w:tcPr>
            <w:tcW w:w="62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right="53" w:rightChars="22"/>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室外工程</w:t>
            </w:r>
          </w:p>
        </w:tc>
        <w:tc>
          <w:tcPr>
            <w:tcW w:w="18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right="53" w:rightChars="22"/>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1、负责由8层数据中心至全院其他各楼栋的光纤敷设（含综合楼内、院区的线管线槽、光纤配线架、机柜及相关配件）。</w:t>
            </w:r>
          </w:p>
          <w:p>
            <w:pPr>
              <w:keepNext w:val="0"/>
              <w:keepLines w:val="0"/>
              <w:pageBreakBefore w:val="0"/>
              <w:widowControl/>
              <w:suppressLineNumbers w:val="0"/>
              <w:kinsoku/>
              <w:wordWrap/>
              <w:overflowPunct/>
              <w:topLinePunct w:val="0"/>
              <w:autoSpaceDE/>
              <w:autoSpaceDN/>
              <w:bidi w:val="0"/>
              <w:adjustRightInd/>
              <w:snapToGrid/>
              <w:spacing w:after="0" w:line="240" w:lineRule="auto"/>
              <w:ind w:right="53" w:rightChars="22"/>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2、不含室外手井、预埋管道及土方开挖回填。</w:t>
            </w:r>
          </w:p>
          <w:p>
            <w:pPr>
              <w:keepNext w:val="0"/>
              <w:keepLines w:val="0"/>
              <w:pageBreakBefore w:val="0"/>
              <w:widowControl/>
              <w:suppressLineNumbers w:val="0"/>
              <w:kinsoku/>
              <w:wordWrap/>
              <w:overflowPunct/>
              <w:topLinePunct w:val="0"/>
              <w:autoSpaceDE/>
              <w:autoSpaceDN/>
              <w:bidi w:val="0"/>
              <w:adjustRightInd/>
              <w:snapToGrid/>
              <w:spacing w:after="0" w:line="240" w:lineRule="auto"/>
              <w:ind w:right="53" w:rightChars="22"/>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3、含全院其他各楼栋的光纤配线架及相关配件。</w:t>
            </w:r>
          </w:p>
        </w:tc>
        <w:tc>
          <w:tcPr>
            <w:tcW w:w="13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right="53" w:rightChars="22"/>
              <w:jc w:val="left"/>
              <w:textAlignment w:val="center"/>
              <w:rPr>
                <w:rFonts w:hint="eastAsia" w:ascii="宋体" w:hAnsi="宋体" w:eastAsia="宋体" w:cs="宋体"/>
                <w:i w:val="0"/>
                <w:iCs w:val="0"/>
                <w:color w:val="auto"/>
                <w:kern w:val="0"/>
                <w:sz w:val="24"/>
                <w:szCs w:val="24"/>
                <w:highlight w:val="none"/>
                <w:u w:val="none"/>
                <w:lang w:val="en-US" w:eastAsia="zh-CN" w:bidi="ar"/>
              </w:rPr>
            </w:pPr>
          </w:p>
        </w:tc>
        <w:tc>
          <w:tcPr>
            <w:tcW w:w="7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right="53" w:rightChars="22"/>
              <w:jc w:val="left"/>
              <w:textAlignment w:val="center"/>
              <w:rPr>
                <w:rFonts w:hint="eastAsia" w:ascii="宋体" w:hAnsi="宋体" w:eastAsia="宋体" w:cs="宋体"/>
                <w:i w:val="0"/>
                <w:iCs w:val="0"/>
                <w:color w:val="auto"/>
                <w:kern w:val="0"/>
                <w:sz w:val="24"/>
                <w:szCs w:val="24"/>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3" w:hRule="atLeast"/>
        </w:trPr>
        <w:tc>
          <w:tcPr>
            <w:tcW w:w="3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right="53" w:rightChars="22"/>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19</w:t>
            </w:r>
          </w:p>
        </w:tc>
        <w:tc>
          <w:tcPr>
            <w:tcW w:w="62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right="53" w:rightChars="22"/>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电梯五方对讲系统</w:t>
            </w:r>
          </w:p>
        </w:tc>
        <w:tc>
          <w:tcPr>
            <w:tcW w:w="18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right="53" w:rightChars="22"/>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1、负责由电梯机房至电梯控制室的线路线缆管槽的敷设。</w:t>
            </w:r>
          </w:p>
        </w:tc>
        <w:tc>
          <w:tcPr>
            <w:tcW w:w="13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right="53" w:rightChars="22"/>
              <w:jc w:val="left"/>
              <w:textAlignment w:val="center"/>
              <w:rPr>
                <w:rFonts w:hint="eastAsia" w:ascii="宋体" w:hAnsi="宋体" w:eastAsia="宋体" w:cs="宋体"/>
                <w:i w:val="0"/>
                <w:iCs w:val="0"/>
                <w:color w:val="auto"/>
                <w:kern w:val="0"/>
                <w:sz w:val="24"/>
                <w:szCs w:val="24"/>
                <w:highlight w:val="none"/>
                <w:u w:val="none"/>
                <w:lang w:val="en-US" w:eastAsia="zh-CN" w:bidi="ar"/>
              </w:rPr>
            </w:pPr>
          </w:p>
        </w:tc>
        <w:tc>
          <w:tcPr>
            <w:tcW w:w="7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right="53" w:rightChars="22"/>
              <w:jc w:val="left"/>
              <w:textAlignment w:val="center"/>
              <w:rPr>
                <w:rFonts w:hint="eastAsia" w:ascii="宋体" w:hAnsi="宋体" w:eastAsia="宋体" w:cs="宋体"/>
                <w:i w:val="0"/>
                <w:iCs w:val="0"/>
                <w:color w:val="auto"/>
                <w:kern w:val="0"/>
                <w:sz w:val="24"/>
                <w:szCs w:val="24"/>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3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right="53" w:rightChars="22"/>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20</w:t>
            </w:r>
          </w:p>
        </w:tc>
        <w:tc>
          <w:tcPr>
            <w:tcW w:w="62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right="53" w:rightChars="22"/>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超融合服务器</w:t>
            </w:r>
          </w:p>
        </w:tc>
        <w:tc>
          <w:tcPr>
            <w:tcW w:w="180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right="53" w:rightChars="22"/>
              <w:jc w:val="left"/>
              <w:textAlignment w:val="center"/>
              <w:rPr>
                <w:rFonts w:hint="eastAsia" w:ascii="宋体" w:hAnsi="宋体" w:eastAsia="宋体" w:cs="宋体"/>
                <w:i w:val="0"/>
                <w:iCs w:val="0"/>
                <w:color w:val="auto"/>
                <w:kern w:val="0"/>
                <w:sz w:val="24"/>
                <w:szCs w:val="24"/>
                <w:highlight w:val="none"/>
                <w:u w:val="none"/>
                <w:lang w:val="en-US" w:eastAsia="zh-CN" w:bidi="ar"/>
              </w:rPr>
            </w:pPr>
          </w:p>
        </w:tc>
        <w:tc>
          <w:tcPr>
            <w:tcW w:w="13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right="53" w:rightChars="22"/>
              <w:jc w:val="left"/>
              <w:textAlignment w:val="center"/>
              <w:rPr>
                <w:rFonts w:hint="eastAsia" w:ascii="宋体" w:hAnsi="宋体" w:eastAsia="宋体" w:cs="宋体"/>
                <w:i w:val="0"/>
                <w:iCs w:val="0"/>
                <w:color w:val="auto"/>
                <w:kern w:val="0"/>
                <w:sz w:val="24"/>
                <w:szCs w:val="24"/>
                <w:highlight w:val="none"/>
                <w:u w:val="none"/>
                <w:lang w:val="en-US" w:eastAsia="zh-CN" w:bidi="ar"/>
              </w:rPr>
            </w:pPr>
          </w:p>
        </w:tc>
        <w:tc>
          <w:tcPr>
            <w:tcW w:w="78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ind w:right="-106" w:rightChars="-44"/>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1、负责整个系统设备的提供、安装、调试及试运行工作。</w:t>
            </w:r>
          </w:p>
        </w:tc>
      </w:tr>
      <w:bookmarkEnd w:id="8"/>
    </w:tbl>
    <w:p>
      <w:pPr>
        <w:spacing w:after="0" w:line="259" w:lineRule="auto"/>
        <w:ind w:left="1685" w:right="0" w:firstLine="0"/>
        <w:rPr>
          <w:rFonts w:hint="eastAsia" w:ascii="宋体" w:hAnsi="宋体" w:eastAsia="宋体" w:cs="宋体"/>
          <w:color w:val="auto"/>
          <w:highlight w:val="none"/>
          <w:lang w:val="en-US" w:eastAsia="zh-CN"/>
        </w:rPr>
      </w:pPr>
    </w:p>
    <w:p>
      <w:pPr>
        <w:spacing w:after="50" w:line="259" w:lineRule="auto"/>
        <w:ind w:left="1560" w:firstLine="0"/>
        <w:rPr>
          <w:rFonts w:hint="eastAsia" w:ascii="宋体" w:hAnsi="宋体" w:eastAsia="宋体" w:cs="宋体"/>
          <w:color w:val="auto"/>
          <w:highlight w:val="none"/>
          <w:lang w:val="en-US" w:eastAsia="zh-CN"/>
        </w:rPr>
      </w:pPr>
    </w:p>
    <w:p>
      <w:pPr>
        <w:spacing w:after="50" w:line="259" w:lineRule="auto"/>
        <w:ind w:firstLine="480" w:firstLineChars="200"/>
        <w:rPr>
          <w:rFonts w:hint="eastAsia" w:ascii="宋体" w:hAnsi="宋体" w:eastAsia="宋体" w:cs="宋体"/>
          <w:color w:val="auto"/>
          <w:highlight w:val="none"/>
        </w:rPr>
      </w:pPr>
      <w:r>
        <w:rPr>
          <w:rFonts w:hint="eastAsia" w:ascii="宋体" w:hAnsi="宋体" w:eastAsia="宋体" w:cs="宋体"/>
          <w:color w:val="auto"/>
          <w:highlight w:val="none"/>
        </w:rPr>
        <w:t>2.</w:t>
      </w:r>
      <w:r>
        <w:rPr>
          <w:rFonts w:hint="eastAsia" w:ascii="宋体" w:hAnsi="宋体" w:eastAsia="宋体" w:cs="宋体"/>
          <w:color w:val="auto"/>
          <w:highlight w:val="none"/>
          <w:lang w:val="en-US" w:eastAsia="zh-CN"/>
        </w:rPr>
        <w:t>3</w:t>
      </w:r>
      <w:r>
        <w:rPr>
          <w:rFonts w:hint="eastAsia" w:ascii="宋体" w:hAnsi="宋体" w:eastAsia="宋体" w:cs="宋体"/>
          <w:color w:val="auto"/>
          <w:highlight w:val="none"/>
        </w:rPr>
        <w:t>.</w:t>
      </w:r>
      <w:r>
        <w:rPr>
          <w:rFonts w:hint="eastAsia" w:cs="宋体"/>
          <w:color w:val="auto"/>
          <w:highlight w:val="none"/>
          <w:lang w:val="en-US" w:eastAsia="zh-CN"/>
        </w:rPr>
        <w:t>2</w:t>
      </w:r>
      <w:r>
        <w:rPr>
          <w:rFonts w:hint="eastAsia" w:ascii="宋体" w:hAnsi="宋体" w:eastAsia="宋体" w:cs="宋体"/>
          <w:color w:val="auto"/>
          <w:highlight w:val="none"/>
        </w:rPr>
        <w:t xml:space="preserve"> </w:t>
      </w:r>
      <w:r>
        <w:rPr>
          <w:rFonts w:hint="eastAsia" w:ascii="宋体" w:hAnsi="宋体" w:eastAsia="宋体" w:cs="宋体"/>
          <w:color w:val="auto"/>
          <w:highlight w:val="none"/>
        </w:rPr>
        <w:tab/>
      </w:r>
      <w:r>
        <w:rPr>
          <w:rFonts w:hint="eastAsia" w:ascii="宋体" w:hAnsi="宋体" w:eastAsia="宋体" w:cs="宋体"/>
          <w:color w:val="auto"/>
          <w:highlight w:val="none"/>
        </w:rPr>
        <w:t>机房工程界面划分</w:t>
      </w:r>
    </w:p>
    <w:tbl>
      <w:tblPr>
        <w:tblStyle w:val="8"/>
        <w:tblW w:w="20596"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958"/>
        <w:gridCol w:w="3734"/>
        <w:gridCol w:w="594"/>
        <w:gridCol w:w="600"/>
        <w:gridCol w:w="622"/>
        <w:gridCol w:w="455"/>
        <w:gridCol w:w="689"/>
        <w:gridCol w:w="583"/>
        <w:gridCol w:w="661"/>
        <w:gridCol w:w="1070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10700" w:type="dxa"/>
          <w:trHeight w:val="390" w:hRule="atLeast"/>
        </w:trPr>
        <w:tc>
          <w:tcPr>
            <w:tcW w:w="1958" w:type="dxa"/>
            <w:vMerge w:val="restart"/>
            <w:tcBorders>
              <w:top w:val="single" w:color="000000" w:sz="8" w:space="0"/>
              <w:left w:val="single" w:color="000000" w:sz="8" w:space="0"/>
              <w:bottom w:val="single" w:color="000000" w:sz="4" w:space="0"/>
              <w:right w:val="single" w:color="000000" w:sz="4" w:space="0"/>
            </w:tcBorders>
            <w:shd w:val="clear" w:color="auto" w:fill="auto"/>
            <w:vAlign w:val="center"/>
          </w:tcPr>
          <w:p>
            <w:pPr>
              <w:keepNext w:val="0"/>
              <w:keepLines w:val="0"/>
              <w:widowControl/>
              <w:suppressLineNumbers w:val="0"/>
              <w:ind w:right="62"/>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项目系统</w:t>
            </w:r>
          </w:p>
        </w:tc>
        <w:tc>
          <w:tcPr>
            <w:tcW w:w="3734" w:type="dxa"/>
            <w:vMerge w:val="restart"/>
            <w:tcBorders>
              <w:top w:val="single" w:color="000000" w:sz="8"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right="98" w:rightChars="41"/>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施工内容</w:t>
            </w:r>
          </w:p>
        </w:tc>
        <w:tc>
          <w:tcPr>
            <w:tcW w:w="594" w:type="dxa"/>
            <w:vMerge w:val="restart"/>
            <w:tcBorders>
              <w:top w:val="single" w:color="000000" w:sz="8"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right="135"/>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弱电承包单位 </w:t>
            </w:r>
          </w:p>
        </w:tc>
        <w:tc>
          <w:tcPr>
            <w:tcW w:w="600" w:type="dxa"/>
            <w:vMerge w:val="restart"/>
            <w:tcBorders>
              <w:top w:val="single" w:color="000000" w:sz="8"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tabs>
                <w:tab w:val="left" w:pos="240"/>
                <w:tab w:val="left" w:pos="1200"/>
              </w:tabs>
              <w:ind w:right="135"/>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总承包单位</w:t>
            </w:r>
          </w:p>
        </w:tc>
        <w:tc>
          <w:tcPr>
            <w:tcW w:w="622" w:type="dxa"/>
            <w:vMerge w:val="restart"/>
            <w:tcBorders>
              <w:top w:val="single" w:color="000000" w:sz="8"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精装承包单位</w:t>
            </w:r>
          </w:p>
        </w:tc>
        <w:tc>
          <w:tcPr>
            <w:tcW w:w="455" w:type="dxa"/>
            <w:vMerge w:val="restart"/>
            <w:tcBorders>
              <w:top w:val="single" w:color="000000" w:sz="8"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firstLine="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消防承包单位</w:t>
            </w:r>
          </w:p>
        </w:tc>
        <w:tc>
          <w:tcPr>
            <w:tcW w:w="689" w:type="dxa"/>
            <w:vMerge w:val="restart"/>
            <w:tcBorders>
              <w:top w:val="single" w:color="000000" w:sz="8"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right="-105"/>
              <w:jc w:val="center"/>
              <w:textAlignment w:val="center"/>
              <w:rPr>
                <w:rFonts w:hint="eastAsia" w:ascii="宋体" w:hAnsi="宋体" w:eastAsia="宋体" w:cs="宋体"/>
                <w:i w:val="0"/>
                <w:iCs w:val="0"/>
                <w:color w:val="000000"/>
                <w:sz w:val="24"/>
                <w:szCs w:val="24"/>
                <w:u w:val="none"/>
              </w:rPr>
            </w:pPr>
            <w:r>
              <w:rPr>
                <w:rFonts w:hint="eastAsia" w:cs="宋体"/>
                <w:i w:val="0"/>
                <w:iCs w:val="0"/>
                <w:color w:val="000000"/>
                <w:kern w:val="0"/>
                <w:sz w:val="24"/>
                <w:szCs w:val="24"/>
                <w:u w:val="none"/>
                <w:lang w:val="en-US" w:eastAsia="zh-CN" w:bidi="ar"/>
              </w:rPr>
              <w:t>本项目</w:t>
            </w:r>
            <w:r>
              <w:rPr>
                <w:rFonts w:hint="eastAsia" w:ascii="宋体" w:hAnsi="宋体" w:eastAsia="宋体" w:cs="宋体"/>
                <w:i w:val="0"/>
                <w:iCs w:val="0"/>
                <w:color w:val="000000"/>
                <w:kern w:val="0"/>
                <w:sz w:val="24"/>
                <w:szCs w:val="24"/>
                <w:u w:val="none"/>
                <w:lang w:val="en-US" w:eastAsia="zh-CN" w:bidi="ar"/>
              </w:rPr>
              <w:t>承包单位</w:t>
            </w:r>
          </w:p>
        </w:tc>
        <w:tc>
          <w:tcPr>
            <w:tcW w:w="583" w:type="dxa"/>
            <w:vMerge w:val="restart"/>
            <w:tcBorders>
              <w:top w:val="single" w:color="000000" w:sz="8"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right="-105"/>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运营商单位</w:t>
            </w:r>
          </w:p>
        </w:tc>
        <w:tc>
          <w:tcPr>
            <w:tcW w:w="661" w:type="dxa"/>
            <w:vMerge w:val="restart"/>
            <w:tcBorders>
              <w:top w:val="single" w:color="000000" w:sz="8" w:space="0"/>
              <w:left w:val="single" w:color="000000" w:sz="4" w:space="0"/>
              <w:bottom w:val="single" w:color="000000" w:sz="4"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备注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10700" w:type="dxa"/>
          <w:trHeight w:val="1956" w:hRule="atLeast"/>
        </w:trPr>
        <w:tc>
          <w:tcPr>
            <w:tcW w:w="1958" w:type="dxa"/>
            <w:vMerge w:val="continue"/>
            <w:tcBorders>
              <w:top w:val="single" w:color="000000" w:sz="8" w:space="0"/>
              <w:left w:val="single" w:color="000000" w:sz="8"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4"/>
                <w:szCs w:val="24"/>
                <w:u w:val="none"/>
              </w:rPr>
            </w:pPr>
          </w:p>
        </w:tc>
        <w:tc>
          <w:tcPr>
            <w:tcW w:w="3734" w:type="dxa"/>
            <w:vMerge w:val="continue"/>
            <w:tcBorders>
              <w:top w:val="single" w:color="000000" w:sz="8" w:space="0"/>
              <w:left w:val="single" w:color="000000" w:sz="4" w:space="0"/>
              <w:bottom w:val="single" w:color="000000" w:sz="4" w:space="0"/>
              <w:right w:val="single" w:color="000000" w:sz="4" w:space="0"/>
            </w:tcBorders>
            <w:shd w:val="clear" w:color="auto" w:fill="auto"/>
            <w:vAlign w:val="center"/>
          </w:tcPr>
          <w:p>
            <w:pPr>
              <w:ind w:right="98" w:rightChars="41"/>
              <w:jc w:val="center"/>
              <w:rPr>
                <w:rFonts w:hint="eastAsia" w:ascii="宋体" w:hAnsi="宋体" w:eastAsia="宋体" w:cs="宋体"/>
                <w:i w:val="0"/>
                <w:iCs w:val="0"/>
                <w:color w:val="000000"/>
                <w:sz w:val="24"/>
                <w:szCs w:val="24"/>
                <w:u w:val="none"/>
              </w:rPr>
            </w:pPr>
          </w:p>
        </w:tc>
        <w:tc>
          <w:tcPr>
            <w:tcW w:w="594" w:type="dxa"/>
            <w:vMerge w:val="continue"/>
            <w:tcBorders>
              <w:top w:val="single" w:color="000000" w:sz="8"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600" w:type="dxa"/>
            <w:vMerge w:val="continue"/>
            <w:tcBorders>
              <w:top w:val="single" w:color="000000" w:sz="8"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622" w:type="dxa"/>
            <w:vMerge w:val="continue"/>
            <w:tcBorders>
              <w:top w:val="single" w:color="000000" w:sz="8"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455" w:type="dxa"/>
            <w:vMerge w:val="continue"/>
            <w:tcBorders>
              <w:top w:val="single" w:color="000000" w:sz="8"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689" w:type="dxa"/>
            <w:vMerge w:val="continue"/>
            <w:tcBorders>
              <w:top w:val="single" w:color="000000" w:sz="8"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583" w:type="dxa"/>
            <w:vMerge w:val="continue"/>
            <w:tcBorders>
              <w:top w:val="single" w:color="000000" w:sz="8"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661" w:type="dxa"/>
            <w:vMerge w:val="continue"/>
            <w:tcBorders>
              <w:top w:val="single" w:color="000000" w:sz="8" w:space="0"/>
              <w:left w:val="single" w:color="000000" w:sz="4" w:space="0"/>
              <w:bottom w:val="single" w:color="000000" w:sz="4" w:space="0"/>
              <w:right w:val="single" w:color="000000" w:sz="8" w:space="0"/>
            </w:tcBorders>
            <w:shd w:val="clear" w:color="auto" w:fill="auto"/>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10700" w:type="dxa"/>
          <w:trHeight w:val="375" w:hRule="atLeast"/>
        </w:trPr>
        <w:tc>
          <w:tcPr>
            <w:tcW w:w="1958" w:type="dxa"/>
            <w:vMerge w:val="restart"/>
            <w:tcBorders>
              <w:top w:val="single" w:color="000000" w:sz="4" w:space="0"/>
              <w:left w:val="single" w:color="000000" w:sz="8" w:space="0"/>
              <w:bottom w:val="nil"/>
              <w:right w:val="single" w:color="000000" w:sz="4" w:space="0"/>
            </w:tcBorders>
            <w:shd w:val="clear" w:color="auto" w:fill="auto"/>
            <w:vAlign w:val="center"/>
          </w:tcPr>
          <w:p>
            <w:pPr>
              <w:keepNext w:val="0"/>
              <w:keepLines w:val="0"/>
              <w:widowControl/>
              <w:suppressLineNumbers w:val="0"/>
              <w:ind w:right="62"/>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一层安防控制室</w:t>
            </w:r>
          </w:p>
        </w:tc>
        <w:tc>
          <w:tcPr>
            <w:tcW w:w="37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ind w:right="98" w:rightChars="41"/>
              <w:jc w:val="both"/>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弱电机柜、操作台、座椅、接地所需线管、线缆、配件。</w:t>
            </w:r>
          </w:p>
        </w:tc>
        <w:tc>
          <w:tcPr>
            <w:tcW w:w="59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60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622"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24"/>
                <w:szCs w:val="24"/>
                <w:u w:val="none"/>
              </w:rPr>
            </w:pPr>
          </w:p>
        </w:tc>
        <w:tc>
          <w:tcPr>
            <w:tcW w:w="455"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24"/>
                <w:szCs w:val="24"/>
                <w:u w:val="none"/>
              </w:rPr>
            </w:pPr>
          </w:p>
        </w:tc>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583"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24"/>
                <w:szCs w:val="24"/>
                <w:u w:val="none"/>
              </w:rPr>
            </w:pPr>
          </w:p>
        </w:tc>
        <w:tc>
          <w:tcPr>
            <w:tcW w:w="661" w:type="dxa"/>
            <w:tcBorders>
              <w:top w:val="single" w:color="000000" w:sz="4" w:space="0"/>
              <w:left w:val="single" w:color="000000" w:sz="4" w:space="0"/>
              <w:bottom w:val="single" w:color="000000" w:sz="4" w:space="0"/>
              <w:right w:val="single" w:color="000000" w:sz="8" w:space="0"/>
            </w:tcBorders>
            <w:shd w:val="clear" w:color="auto" w:fill="FFFFFF"/>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10700" w:type="dxa"/>
          <w:trHeight w:val="652" w:hRule="atLeast"/>
        </w:trPr>
        <w:tc>
          <w:tcPr>
            <w:tcW w:w="1958" w:type="dxa"/>
            <w:vMerge w:val="continue"/>
            <w:tcBorders>
              <w:top w:val="single" w:color="000000" w:sz="4" w:space="0"/>
              <w:left w:val="single" w:color="000000" w:sz="8" w:space="0"/>
              <w:bottom w:val="nil"/>
              <w:right w:val="single" w:color="000000" w:sz="4" w:space="0"/>
            </w:tcBorders>
            <w:shd w:val="clear" w:color="auto" w:fill="auto"/>
            <w:vAlign w:val="center"/>
          </w:tcPr>
          <w:p>
            <w:pPr>
              <w:jc w:val="left"/>
              <w:rPr>
                <w:rFonts w:hint="eastAsia" w:ascii="宋体" w:hAnsi="宋体" w:eastAsia="宋体" w:cs="宋体"/>
                <w:i w:val="0"/>
                <w:iCs w:val="0"/>
                <w:color w:val="000000"/>
                <w:sz w:val="24"/>
                <w:szCs w:val="24"/>
                <w:u w:val="none"/>
              </w:rPr>
            </w:pPr>
          </w:p>
        </w:tc>
        <w:tc>
          <w:tcPr>
            <w:tcW w:w="37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right="98" w:rightChars="41"/>
              <w:jc w:val="both"/>
              <w:textAlignment w:val="center"/>
              <w:rPr>
                <w:rFonts w:hint="default" w:ascii="宋体" w:hAnsi="宋体" w:eastAsia="宋体" w:cs="宋体"/>
                <w:i w:val="0"/>
                <w:iCs w:val="0"/>
                <w:color w:val="000000"/>
                <w:kern w:val="0"/>
                <w:sz w:val="24"/>
                <w:szCs w:val="24"/>
                <w:u w:val="none"/>
                <w:lang w:val="en-US" w:eastAsia="zh-CN" w:bidi="ar"/>
              </w:rPr>
            </w:pPr>
            <w:r>
              <w:rPr>
                <w:rFonts w:hint="eastAsia" w:cs="宋体"/>
                <w:i w:val="0"/>
                <w:iCs w:val="0"/>
                <w:color w:val="000000"/>
                <w:kern w:val="0"/>
                <w:sz w:val="24"/>
                <w:szCs w:val="24"/>
                <w:u w:val="none"/>
                <w:lang w:val="en-US" w:eastAsia="zh-CN" w:bidi="ar"/>
              </w:rPr>
              <w:t>机房内接地网、</w:t>
            </w:r>
            <w:r>
              <w:rPr>
                <w:rFonts w:hint="eastAsia" w:ascii="宋体" w:hAnsi="宋体" w:eastAsia="宋体" w:cs="宋体"/>
                <w:i w:val="0"/>
                <w:iCs w:val="0"/>
                <w:color w:val="000000"/>
                <w:kern w:val="0"/>
                <w:sz w:val="24"/>
                <w:szCs w:val="24"/>
                <w:u w:val="none"/>
                <w:lang w:val="en-US" w:eastAsia="zh-CN" w:bidi="ar"/>
              </w:rPr>
              <w:t>接地铜排及系统所需线管、线缆、配件。</w:t>
            </w:r>
          </w:p>
        </w:tc>
        <w:tc>
          <w:tcPr>
            <w:tcW w:w="5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62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45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58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661" w:type="dxa"/>
            <w:tcBorders>
              <w:top w:val="single" w:color="000000" w:sz="4" w:space="0"/>
              <w:left w:val="single" w:color="000000" w:sz="4" w:space="0"/>
              <w:bottom w:val="single" w:color="000000" w:sz="4" w:space="0"/>
              <w:right w:val="single" w:color="000000" w:sz="8" w:space="0"/>
            </w:tcBorders>
            <w:shd w:val="clear" w:color="auto" w:fill="auto"/>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10700" w:type="dxa"/>
          <w:trHeight w:val="652" w:hRule="atLeast"/>
        </w:trPr>
        <w:tc>
          <w:tcPr>
            <w:tcW w:w="1958" w:type="dxa"/>
            <w:vMerge w:val="continue"/>
            <w:tcBorders>
              <w:top w:val="single" w:color="000000" w:sz="4" w:space="0"/>
              <w:left w:val="single" w:color="000000" w:sz="8" w:space="0"/>
              <w:bottom w:val="nil"/>
              <w:right w:val="single" w:color="000000" w:sz="4" w:space="0"/>
            </w:tcBorders>
            <w:shd w:val="clear" w:color="auto" w:fill="auto"/>
            <w:vAlign w:val="center"/>
          </w:tcPr>
          <w:p>
            <w:pPr>
              <w:jc w:val="left"/>
              <w:rPr>
                <w:rFonts w:hint="eastAsia" w:ascii="宋体" w:hAnsi="宋体" w:eastAsia="宋体" w:cs="宋体"/>
                <w:i w:val="0"/>
                <w:iCs w:val="0"/>
                <w:color w:val="000000"/>
                <w:sz w:val="24"/>
                <w:szCs w:val="24"/>
                <w:u w:val="none"/>
              </w:rPr>
            </w:pPr>
          </w:p>
        </w:tc>
        <w:tc>
          <w:tcPr>
            <w:tcW w:w="37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ind w:right="98" w:rightChars="41"/>
              <w:jc w:val="both"/>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动力上口配电所需线管、线缆、配件等一切主辅材料。</w:t>
            </w:r>
          </w:p>
        </w:tc>
        <w:tc>
          <w:tcPr>
            <w:tcW w:w="59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60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622"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24"/>
                <w:szCs w:val="24"/>
                <w:u w:val="none"/>
              </w:rPr>
            </w:pPr>
          </w:p>
        </w:tc>
        <w:tc>
          <w:tcPr>
            <w:tcW w:w="455"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24"/>
                <w:szCs w:val="24"/>
                <w:u w:val="none"/>
              </w:rPr>
            </w:pPr>
          </w:p>
        </w:tc>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583"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24"/>
                <w:szCs w:val="24"/>
                <w:u w:val="none"/>
              </w:rPr>
            </w:pPr>
          </w:p>
        </w:tc>
        <w:tc>
          <w:tcPr>
            <w:tcW w:w="661" w:type="dxa"/>
            <w:tcBorders>
              <w:top w:val="single" w:color="000000" w:sz="4" w:space="0"/>
              <w:left w:val="single" w:color="000000" w:sz="4" w:space="0"/>
              <w:bottom w:val="single" w:color="000000" w:sz="4" w:space="0"/>
              <w:right w:val="single" w:color="000000" w:sz="8" w:space="0"/>
            </w:tcBorders>
            <w:shd w:val="clear" w:color="auto" w:fill="FFFFFF"/>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10700" w:type="dxa"/>
          <w:trHeight w:val="375" w:hRule="atLeast"/>
        </w:trPr>
        <w:tc>
          <w:tcPr>
            <w:tcW w:w="1958" w:type="dxa"/>
            <w:vMerge w:val="continue"/>
            <w:tcBorders>
              <w:top w:val="single" w:color="000000" w:sz="4" w:space="0"/>
              <w:left w:val="single" w:color="000000" w:sz="8" w:space="0"/>
              <w:bottom w:val="nil"/>
              <w:right w:val="single" w:color="000000" w:sz="4" w:space="0"/>
            </w:tcBorders>
            <w:shd w:val="clear" w:color="auto" w:fill="auto"/>
            <w:vAlign w:val="center"/>
          </w:tcPr>
          <w:p>
            <w:pPr>
              <w:jc w:val="left"/>
              <w:rPr>
                <w:rFonts w:hint="eastAsia" w:ascii="宋体" w:hAnsi="宋体" w:eastAsia="宋体" w:cs="宋体"/>
                <w:i w:val="0"/>
                <w:iCs w:val="0"/>
                <w:color w:val="000000"/>
                <w:sz w:val="24"/>
                <w:szCs w:val="24"/>
                <w:u w:val="none"/>
              </w:rPr>
            </w:pPr>
          </w:p>
        </w:tc>
        <w:tc>
          <w:tcPr>
            <w:tcW w:w="37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ind w:right="98" w:rightChars="41"/>
              <w:jc w:val="both"/>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下口配电所需配电箱、线管、线缆、配件等一切主辅材料。</w:t>
            </w:r>
          </w:p>
        </w:tc>
        <w:tc>
          <w:tcPr>
            <w:tcW w:w="59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60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rPr>
                <w:rFonts w:hint="eastAsia" w:ascii="宋体" w:hAnsi="宋体" w:eastAsia="宋体" w:cs="宋体"/>
                <w:i w:val="0"/>
                <w:iCs w:val="0"/>
                <w:color w:val="000000"/>
                <w:sz w:val="24"/>
                <w:szCs w:val="24"/>
                <w:u w:val="none"/>
              </w:rPr>
            </w:pPr>
          </w:p>
        </w:tc>
        <w:tc>
          <w:tcPr>
            <w:tcW w:w="62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455"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24"/>
                <w:szCs w:val="24"/>
                <w:u w:val="none"/>
              </w:rPr>
            </w:pPr>
          </w:p>
        </w:tc>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583"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24"/>
                <w:szCs w:val="24"/>
                <w:u w:val="none"/>
              </w:rPr>
            </w:pPr>
          </w:p>
        </w:tc>
        <w:tc>
          <w:tcPr>
            <w:tcW w:w="661" w:type="dxa"/>
            <w:tcBorders>
              <w:top w:val="single" w:color="000000" w:sz="4" w:space="0"/>
              <w:left w:val="single" w:color="000000" w:sz="4" w:space="0"/>
              <w:bottom w:val="single" w:color="000000" w:sz="4" w:space="0"/>
              <w:right w:val="single" w:color="000000" w:sz="8" w:space="0"/>
            </w:tcBorders>
            <w:shd w:val="clear" w:color="auto" w:fill="FFFFFF"/>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10700" w:type="dxa"/>
          <w:trHeight w:val="375" w:hRule="atLeast"/>
        </w:trPr>
        <w:tc>
          <w:tcPr>
            <w:tcW w:w="1958" w:type="dxa"/>
            <w:vMerge w:val="continue"/>
            <w:tcBorders>
              <w:top w:val="single" w:color="000000" w:sz="4" w:space="0"/>
              <w:left w:val="single" w:color="000000" w:sz="8" w:space="0"/>
              <w:bottom w:val="nil"/>
              <w:right w:val="single" w:color="000000" w:sz="4" w:space="0"/>
            </w:tcBorders>
            <w:shd w:val="clear" w:color="auto" w:fill="auto"/>
            <w:vAlign w:val="center"/>
          </w:tcPr>
          <w:p>
            <w:pPr>
              <w:jc w:val="left"/>
              <w:rPr>
                <w:rFonts w:hint="eastAsia" w:ascii="宋体" w:hAnsi="宋体" w:eastAsia="宋体" w:cs="宋体"/>
                <w:i w:val="0"/>
                <w:iCs w:val="0"/>
                <w:color w:val="000000"/>
                <w:sz w:val="24"/>
                <w:szCs w:val="24"/>
                <w:u w:val="none"/>
              </w:rPr>
            </w:pPr>
          </w:p>
        </w:tc>
        <w:tc>
          <w:tcPr>
            <w:tcW w:w="37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ind w:right="98" w:rightChars="41"/>
              <w:jc w:val="both"/>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安防控制中心内的空调、新风、装饰、照明、静电地板、接地等。</w:t>
            </w:r>
          </w:p>
        </w:tc>
        <w:tc>
          <w:tcPr>
            <w:tcW w:w="59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60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622"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24"/>
                <w:szCs w:val="24"/>
                <w:u w:val="none"/>
              </w:rPr>
            </w:pPr>
          </w:p>
        </w:tc>
        <w:tc>
          <w:tcPr>
            <w:tcW w:w="455"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24"/>
                <w:szCs w:val="24"/>
                <w:u w:val="none"/>
              </w:rPr>
            </w:pPr>
          </w:p>
        </w:tc>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583"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24"/>
                <w:szCs w:val="24"/>
                <w:u w:val="none"/>
              </w:rPr>
            </w:pPr>
          </w:p>
        </w:tc>
        <w:tc>
          <w:tcPr>
            <w:tcW w:w="661" w:type="dxa"/>
            <w:tcBorders>
              <w:top w:val="single" w:color="000000" w:sz="4" w:space="0"/>
              <w:left w:val="single" w:color="000000" w:sz="4" w:space="0"/>
              <w:bottom w:val="single" w:color="000000" w:sz="4" w:space="0"/>
              <w:right w:val="single" w:color="000000" w:sz="8" w:space="0"/>
            </w:tcBorders>
            <w:shd w:val="clear" w:color="auto" w:fill="FFFFFF"/>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10700" w:type="dxa"/>
          <w:trHeight w:val="375" w:hRule="atLeast"/>
        </w:trPr>
        <w:tc>
          <w:tcPr>
            <w:tcW w:w="1958" w:type="dxa"/>
            <w:vMerge w:val="continue"/>
            <w:tcBorders>
              <w:top w:val="single" w:color="000000" w:sz="4" w:space="0"/>
              <w:left w:val="single" w:color="000000" w:sz="8" w:space="0"/>
              <w:bottom w:val="nil"/>
              <w:right w:val="single" w:color="000000" w:sz="4" w:space="0"/>
            </w:tcBorders>
            <w:shd w:val="clear" w:color="auto" w:fill="auto"/>
            <w:vAlign w:val="center"/>
          </w:tcPr>
          <w:p>
            <w:pPr>
              <w:jc w:val="left"/>
              <w:rPr>
                <w:rFonts w:hint="eastAsia" w:ascii="宋体" w:hAnsi="宋体" w:eastAsia="宋体" w:cs="宋体"/>
                <w:i w:val="0"/>
                <w:iCs w:val="0"/>
                <w:color w:val="000000"/>
                <w:sz w:val="24"/>
                <w:szCs w:val="24"/>
                <w:u w:val="none"/>
              </w:rPr>
            </w:pPr>
          </w:p>
        </w:tc>
        <w:tc>
          <w:tcPr>
            <w:tcW w:w="37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ind w:right="98" w:rightChars="41"/>
              <w:jc w:val="both"/>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地上地下弱电间内的空调、及装修。</w:t>
            </w:r>
          </w:p>
        </w:tc>
        <w:tc>
          <w:tcPr>
            <w:tcW w:w="59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60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622"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24"/>
                <w:szCs w:val="24"/>
                <w:u w:val="none"/>
              </w:rPr>
            </w:pPr>
          </w:p>
        </w:tc>
        <w:tc>
          <w:tcPr>
            <w:tcW w:w="455"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24"/>
                <w:szCs w:val="24"/>
                <w:u w:val="none"/>
              </w:rPr>
            </w:pPr>
          </w:p>
        </w:tc>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583"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24"/>
                <w:szCs w:val="24"/>
                <w:u w:val="none"/>
              </w:rPr>
            </w:pPr>
          </w:p>
        </w:tc>
        <w:tc>
          <w:tcPr>
            <w:tcW w:w="661" w:type="dxa"/>
            <w:tcBorders>
              <w:top w:val="single" w:color="000000" w:sz="4" w:space="0"/>
              <w:left w:val="single" w:color="000000" w:sz="4" w:space="0"/>
              <w:bottom w:val="single" w:color="000000" w:sz="4" w:space="0"/>
              <w:right w:val="single" w:color="000000" w:sz="8" w:space="0"/>
            </w:tcBorders>
            <w:shd w:val="clear" w:color="auto" w:fill="FFFFFF"/>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10700" w:type="dxa"/>
          <w:trHeight w:val="375" w:hRule="atLeast"/>
        </w:trPr>
        <w:tc>
          <w:tcPr>
            <w:tcW w:w="1958" w:type="dxa"/>
            <w:vMerge w:val="continue"/>
            <w:tcBorders>
              <w:top w:val="single" w:color="000000" w:sz="4" w:space="0"/>
              <w:left w:val="single" w:color="000000" w:sz="8" w:space="0"/>
              <w:bottom w:val="nil"/>
              <w:right w:val="single" w:color="000000" w:sz="4" w:space="0"/>
            </w:tcBorders>
            <w:shd w:val="clear" w:color="auto" w:fill="auto"/>
            <w:vAlign w:val="center"/>
          </w:tcPr>
          <w:p>
            <w:pPr>
              <w:jc w:val="left"/>
              <w:rPr>
                <w:rFonts w:hint="eastAsia" w:ascii="宋体" w:hAnsi="宋体" w:eastAsia="宋体" w:cs="宋体"/>
                <w:i w:val="0"/>
                <w:iCs w:val="0"/>
                <w:color w:val="000000"/>
                <w:sz w:val="24"/>
                <w:szCs w:val="24"/>
                <w:u w:val="none"/>
              </w:rPr>
            </w:pPr>
          </w:p>
        </w:tc>
        <w:tc>
          <w:tcPr>
            <w:tcW w:w="37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ind w:right="98" w:rightChars="41"/>
              <w:jc w:val="both"/>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地上地下弱电间内预留插座。</w:t>
            </w:r>
          </w:p>
        </w:tc>
        <w:tc>
          <w:tcPr>
            <w:tcW w:w="59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60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622"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24"/>
                <w:szCs w:val="24"/>
                <w:u w:val="none"/>
              </w:rPr>
            </w:pPr>
          </w:p>
        </w:tc>
        <w:tc>
          <w:tcPr>
            <w:tcW w:w="455"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24"/>
                <w:szCs w:val="24"/>
                <w:u w:val="none"/>
              </w:rPr>
            </w:pPr>
          </w:p>
        </w:tc>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583"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24"/>
                <w:szCs w:val="24"/>
                <w:u w:val="none"/>
              </w:rPr>
            </w:pPr>
          </w:p>
        </w:tc>
        <w:tc>
          <w:tcPr>
            <w:tcW w:w="661" w:type="dxa"/>
            <w:tcBorders>
              <w:top w:val="single" w:color="000000" w:sz="4" w:space="0"/>
              <w:left w:val="single" w:color="000000" w:sz="4" w:space="0"/>
              <w:bottom w:val="single" w:color="000000" w:sz="4" w:space="0"/>
              <w:right w:val="single" w:color="000000" w:sz="8" w:space="0"/>
            </w:tcBorders>
            <w:shd w:val="clear" w:color="auto" w:fill="FFFFFF"/>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10700" w:type="dxa"/>
          <w:trHeight w:val="375" w:hRule="atLeast"/>
        </w:trPr>
        <w:tc>
          <w:tcPr>
            <w:tcW w:w="1958" w:type="dxa"/>
            <w:vMerge w:val="continue"/>
            <w:tcBorders>
              <w:top w:val="single" w:color="000000" w:sz="4" w:space="0"/>
              <w:left w:val="single" w:color="000000" w:sz="8" w:space="0"/>
              <w:bottom w:val="nil"/>
              <w:right w:val="single" w:color="000000" w:sz="4" w:space="0"/>
            </w:tcBorders>
            <w:shd w:val="clear" w:color="auto" w:fill="auto"/>
            <w:vAlign w:val="center"/>
          </w:tcPr>
          <w:p>
            <w:pPr>
              <w:jc w:val="left"/>
              <w:rPr>
                <w:rFonts w:hint="eastAsia" w:ascii="宋体" w:hAnsi="宋体" w:eastAsia="宋体" w:cs="宋体"/>
                <w:i w:val="0"/>
                <w:iCs w:val="0"/>
                <w:color w:val="000000"/>
                <w:sz w:val="24"/>
                <w:szCs w:val="24"/>
                <w:u w:val="none"/>
              </w:rPr>
            </w:pPr>
          </w:p>
        </w:tc>
        <w:tc>
          <w:tcPr>
            <w:tcW w:w="37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ind w:right="98" w:rightChars="41"/>
              <w:jc w:val="both"/>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安防控制中心内的消防报警等。</w:t>
            </w:r>
          </w:p>
        </w:tc>
        <w:tc>
          <w:tcPr>
            <w:tcW w:w="59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60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rPr>
                <w:rFonts w:hint="eastAsia" w:ascii="宋体" w:hAnsi="宋体" w:eastAsia="宋体" w:cs="宋体"/>
                <w:i w:val="0"/>
                <w:iCs w:val="0"/>
                <w:color w:val="000000"/>
                <w:sz w:val="24"/>
                <w:szCs w:val="24"/>
                <w:u w:val="none"/>
              </w:rPr>
            </w:pPr>
          </w:p>
        </w:tc>
        <w:tc>
          <w:tcPr>
            <w:tcW w:w="622"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24"/>
                <w:szCs w:val="24"/>
                <w:u w:val="none"/>
              </w:rPr>
            </w:pPr>
          </w:p>
        </w:tc>
        <w:tc>
          <w:tcPr>
            <w:tcW w:w="45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583"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24"/>
                <w:szCs w:val="24"/>
                <w:u w:val="none"/>
              </w:rPr>
            </w:pPr>
          </w:p>
        </w:tc>
        <w:tc>
          <w:tcPr>
            <w:tcW w:w="661" w:type="dxa"/>
            <w:tcBorders>
              <w:top w:val="single" w:color="000000" w:sz="4" w:space="0"/>
              <w:left w:val="single" w:color="000000" w:sz="4" w:space="0"/>
              <w:bottom w:val="single" w:color="000000" w:sz="4" w:space="0"/>
              <w:right w:val="single" w:color="000000" w:sz="8" w:space="0"/>
            </w:tcBorders>
            <w:shd w:val="clear" w:color="auto" w:fill="FFFFFF"/>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10700" w:type="dxa"/>
          <w:trHeight w:val="750" w:hRule="atLeast"/>
        </w:trPr>
        <w:tc>
          <w:tcPr>
            <w:tcW w:w="1958" w:type="dxa"/>
            <w:vMerge w:val="continue"/>
            <w:tcBorders>
              <w:top w:val="single" w:color="000000" w:sz="4" w:space="0"/>
              <w:left w:val="single" w:color="000000" w:sz="8" w:space="0"/>
              <w:bottom w:val="nil"/>
              <w:right w:val="single" w:color="000000" w:sz="4" w:space="0"/>
            </w:tcBorders>
            <w:shd w:val="clear" w:color="auto" w:fill="auto"/>
            <w:vAlign w:val="center"/>
          </w:tcPr>
          <w:p>
            <w:pPr>
              <w:jc w:val="left"/>
              <w:rPr>
                <w:rFonts w:hint="eastAsia" w:ascii="宋体" w:hAnsi="宋体" w:eastAsia="宋体" w:cs="宋体"/>
                <w:i w:val="0"/>
                <w:iCs w:val="0"/>
                <w:color w:val="000000"/>
                <w:sz w:val="24"/>
                <w:szCs w:val="24"/>
                <w:u w:val="none"/>
              </w:rPr>
            </w:pPr>
          </w:p>
        </w:tc>
        <w:tc>
          <w:tcPr>
            <w:tcW w:w="37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ind w:right="98" w:rightChars="41"/>
              <w:jc w:val="both"/>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UPS 主机、电池柜、旁路开关、免维护电池，系统所需线管、线缆、配件等一切主辅材。</w:t>
            </w:r>
          </w:p>
        </w:tc>
        <w:tc>
          <w:tcPr>
            <w:tcW w:w="59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600"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24"/>
                <w:szCs w:val="24"/>
                <w:u w:val="none"/>
              </w:rPr>
            </w:pPr>
          </w:p>
        </w:tc>
        <w:tc>
          <w:tcPr>
            <w:tcW w:w="622"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24"/>
                <w:szCs w:val="24"/>
                <w:u w:val="none"/>
              </w:rPr>
            </w:pPr>
          </w:p>
        </w:tc>
        <w:tc>
          <w:tcPr>
            <w:tcW w:w="455"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24"/>
                <w:szCs w:val="24"/>
                <w:u w:val="none"/>
              </w:rPr>
            </w:pPr>
          </w:p>
        </w:tc>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583"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24"/>
                <w:szCs w:val="24"/>
                <w:u w:val="none"/>
              </w:rPr>
            </w:pPr>
          </w:p>
        </w:tc>
        <w:tc>
          <w:tcPr>
            <w:tcW w:w="661" w:type="dxa"/>
            <w:tcBorders>
              <w:top w:val="single" w:color="000000" w:sz="4" w:space="0"/>
              <w:left w:val="single" w:color="000000" w:sz="4" w:space="0"/>
              <w:bottom w:val="single" w:color="000000" w:sz="4" w:space="0"/>
              <w:right w:val="single" w:color="000000" w:sz="8" w:space="0"/>
            </w:tcBorders>
            <w:shd w:val="clear" w:color="auto" w:fill="FFFFFF"/>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10700" w:type="dxa"/>
          <w:trHeight w:val="375" w:hRule="atLeast"/>
        </w:trPr>
        <w:tc>
          <w:tcPr>
            <w:tcW w:w="1958" w:type="dxa"/>
            <w:vMerge w:val="continue"/>
            <w:tcBorders>
              <w:top w:val="single" w:color="000000" w:sz="4" w:space="0"/>
              <w:left w:val="single" w:color="000000" w:sz="8" w:space="0"/>
              <w:bottom w:val="nil"/>
              <w:right w:val="single" w:color="000000" w:sz="4" w:space="0"/>
            </w:tcBorders>
            <w:shd w:val="clear" w:color="auto" w:fill="auto"/>
            <w:vAlign w:val="center"/>
          </w:tcPr>
          <w:p>
            <w:pPr>
              <w:jc w:val="left"/>
              <w:rPr>
                <w:rFonts w:hint="eastAsia" w:ascii="宋体" w:hAnsi="宋体" w:eastAsia="宋体" w:cs="宋体"/>
                <w:i w:val="0"/>
                <w:iCs w:val="0"/>
                <w:color w:val="000000"/>
                <w:sz w:val="24"/>
                <w:szCs w:val="24"/>
                <w:u w:val="none"/>
              </w:rPr>
            </w:pPr>
          </w:p>
        </w:tc>
        <w:tc>
          <w:tcPr>
            <w:tcW w:w="37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ind w:right="98" w:rightChars="41"/>
              <w:jc w:val="both"/>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UPS 下口配电系统、下口配电箱，系统所需线管、线缆、配件等一切主辅材。</w:t>
            </w:r>
          </w:p>
        </w:tc>
        <w:tc>
          <w:tcPr>
            <w:tcW w:w="59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600"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24"/>
                <w:szCs w:val="24"/>
                <w:u w:val="none"/>
              </w:rPr>
            </w:pPr>
          </w:p>
        </w:tc>
        <w:tc>
          <w:tcPr>
            <w:tcW w:w="622"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24"/>
                <w:szCs w:val="24"/>
                <w:u w:val="none"/>
              </w:rPr>
            </w:pPr>
          </w:p>
        </w:tc>
        <w:tc>
          <w:tcPr>
            <w:tcW w:w="455"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24"/>
                <w:szCs w:val="24"/>
                <w:u w:val="none"/>
              </w:rPr>
            </w:pPr>
          </w:p>
        </w:tc>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583"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24"/>
                <w:szCs w:val="24"/>
                <w:u w:val="none"/>
              </w:rPr>
            </w:pPr>
          </w:p>
        </w:tc>
        <w:tc>
          <w:tcPr>
            <w:tcW w:w="661" w:type="dxa"/>
            <w:tcBorders>
              <w:top w:val="single" w:color="000000" w:sz="4" w:space="0"/>
              <w:left w:val="single" w:color="000000" w:sz="4" w:space="0"/>
              <w:bottom w:val="single" w:color="000000" w:sz="4" w:space="0"/>
              <w:right w:val="single" w:color="000000" w:sz="8" w:space="0"/>
            </w:tcBorders>
            <w:shd w:val="clear" w:color="auto" w:fill="FFFFFF"/>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10700" w:type="dxa"/>
          <w:trHeight w:val="375" w:hRule="atLeast"/>
        </w:trPr>
        <w:tc>
          <w:tcPr>
            <w:tcW w:w="1958" w:type="dxa"/>
            <w:vMerge w:val="continue"/>
            <w:tcBorders>
              <w:top w:val="single" w:color="000000" w:sz="4" w:space="0"/>
              <w:left w:val="single" w:color="000000" w:sz="8" w:space="0"/>
              <w:bottom w:val="nil"/>
              <w:right w:val="single" w:color="000000" w:sz="4" w:space="0"/>
            </w:tcBorders>
            <w:shd w:val="clear" w:color="auto" w:fill="auto"/>
            <w:vAlign w:val="center"/>
          </w:tcPr>
          <w:p>
            <w:pPr>
              <w:jc w:val="left"/>
              <w:rPr>
                <w:rFonts w:hint="eastAsia" w:ascii="宋体" w:hAnsi="宋体" w:eastAsia="宋体" w:cs="宋体"/>
                <w:i w:val="0"/>
                <w:iCs w:val="0"/>
                <w:color w:val="000000"/>
                <w:sz w:val="24"/>
                <w:szCs w:val="24"/>
                <w:u w:val="none"/>
              </w:rPr>
            </w:pPr>
          </w:p>
        </w:tc>
        <w:tc>
          <w:tcPr>
            <w:tcW w:w="37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ind w:right="98" w:rightChars="41"/>
              <w:jc w:val="both"/>
              <w:textAlignment w:val="center"/>
              <w:rPr>
                <w:rFonts w:hint="default" w:ascii="宋体" w:hAnsi="宋体" w:eastAsia="宋体" w:cs="宋体"/>
                <w:i w:val="0"/>
                <w:iCs w:val="0"/>
                <w:color w:val="000000"/>
                <w:kern w:val="0"/>
                <w:sz w:val="24"/>
                <w:szCs w:val="24"/>
                <w:u w:val="none"/>
                <w:lang w:val="en-US" w:eastAsia="zh-CN" w:bidi="ar"/>
              </w:rPr>
            </w:pPr>
            <w:r>
              <w:rPr>
                <w:rFonts w:hint="eastAsia" w:cs="宋体"/>
                <w:i w:val="0"/>
                <w:iCs w:val="0"/>
                <w:color w:val="000000"/>
                <w:kern w:val="0"/>
                <w:sz w:val="24"/>
                <w:szCs w:val="24"/>
                <w:u w:val="none"/>
                <w:lang w:val="en-US" w:eastAsia="zh-CN" w:bidi="ar"/>
              </w:rPr>
              <w:t>弱电间UPS 配电箱及下口配电系统（只含机柜）；安防控制配电箱及下口配电；</w:t>
            </w:r>
          </w:p>
        </w:tc>
        <w:tc>
          <w:tcPr>
            <w:tcW w:w="59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w:t>
            </w:r>
          </w:p>
        </w:tc>
        <w:tc>
          <w:tcPr>
            <w:tcW w:w="600"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24"/>
                <w:szCs w:val="24"/>
                <w:u w:val="none"/>
              </w:rPr>
            </w:pPr>
          </w:p>
        </w:tc>
        <w:tc>
          <w:tcPr>
            <w:tcW w:w="622"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24"/>
                <w:szCs w:val="24"/>
                <w:u w:val="none"/>
              </w:rPr>
            </w:pPr>
          </w:p>
        </w:tc>
        <w:tc>
          <w:tcPr>
            <w:tcW w:w="455"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24"/>
                <w:szCs w:val="24"/>
                <w:u w:val="none"/>
              </w:rPr>
            </w:pPr>
          </w:p>
        </w:tc>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w:t>
            </w:r>
          </w:p>
        </w:tc>
        <w:tc>
          <w:tcPr>
            <w:tcW w:w="583"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24"/>
                <w:szCs w:val="24"/>
                <w:u w:val="none"/>
              </w:rPr>
            </w:pPr>
          </w:p>
        </w:tc>
        <w:tc>
          <w:tcPr>
            <w:tcW w:w="661" w:type="dxa"/>
            <w:tcBorders>
              <w:top w:val="single" w:color="000000" w:sz="4" w:space="0"/>
              <w:left w:val="single" w:color="000000" w:sz="4" w:space="0"/>
              <w:bottom w:val="single" w:color="000000" w:sz="4" w:space="0"/>
              <w:right w:val="single" w:color="000000" w:sz="8" w:space="0"/>
            </w:tcBorders>
            <w:shd w:val="clear" w:color="auto" w:fill="FFFFFF"/>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10700" w:type="dxa"/>
          <w:trHeight w:val="375" w:hRule="atLeast"/>
        </w:trPr>
        <w:tc>
          <w:tcPr>
            <w:tcW w:w="1958" w:type="dxa"/>
            <w:vMerge w:val="continue"/>
            <w:tcBorders>
              <w:top w:val="single" w:color="000000" w:sz="4" w:space="0"/>
              <w:left w:val="single" w:color="000000" w:sz="8" w:space="0"/>
              <w:bottom w:val="nil"/>
              <w:right w:val="single" w:color="000000" w:sz="4" w:space="0"/>
            </w:tcBorders>
            <w:shd w:val="clear" w:color="auto" w:fill="auto"/>
            <w:vAlign w:val="center"/>
          </w:tcPr>
          <w:p>
            <w:pPr>
              <w:jc w:val="left"/>
              <w:rPr>
                <w:rFonts w:hint="eastAsia" w:ascii="宋体" w:hAnsi="宋体" w:eastAsia="宋体" w:cs="宋体"/>
                <w:i w:val="0"/>
                <w:iCs w:val="0"/>
                <w:color w:val="000000"/>
                <w:sz w:val="24"/>
                <w:szCs w:val="24"/>
                <w:u w:val="none"/>
              </w:rPr>
            </w:pPr>
          </w:p>
        </w:tc>
        <w:tc>
          <w:tcPr>
            <w:tcW w:w="37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ind w:right="98" w:rightChars="41"/>
              <w:jc w:val="both"/>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UPS 上口配电系统、上口配电箱，系统所需线管、线缆、配件等一切主辅材。</w:t>
            </w:r>
          </w:p>
        </w:tc>
        <w:tc>
          <w:tcPr>
            <w:tcW w:w="59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60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622"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24"/>
                <w:szCs w:val="24"/>
                <w:u w:val="none"/>
              </w:rPr>
            </w:pPr>
          </w:p>
        </w:tc>
        <w:tc>
          <w:tcPr>
            <w:tcW w:w="455"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24"/>
                <w:szCs w:val="24"/>
                <w:u w:val="none"/>
              </w:rPr>
            </w:pPr>
          </w:p>
        </w:tc>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583"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24"/>
                <w:szCs w:val="24"/>
                <w:u w:val="none"/>
              </w:rPr>
            </w:pPr>
          </w:p>
        </w:tc>
        <w:tc>
          <w:tcPr>
            <w:tcW w:w="661" w:type="dxa"/>
            <w:tcBorders>
              <w:top w:val="single" w:color="000000" w:sz="4" w:space="0"/>
              <w:left w:val="single" w:color="000000" w:sz="4" w:space="0"/>
              <w:bottom w:val="single" w:color="000000" w:sz="4" w:space="0"/>
              <w:right w:val="single" w:color="000000" w:sz="8" w:space="0"/>
            </w:tcBorders>
            <w:shd w:val="clear" w:color="auto" w:fill="FFFFFF"/>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10700" w:type="dxa"/>
          <w:trHeight w:val="602" w:hRule="atLeast"/>
        </w:trPr>
        <w:tc>
          <w:tcPr>
            <w:tcW w:w="1958" w:type="dxa"/>
            <w:vMerge w:val="restart"/>
            <w:tcBorders>
              <w:top w:val="single" w:color="000000" w:sz="4" w:space="0"/>
              <w:left w:val="single" w:color="000000" w:sz="8" w:space="0"/>
              <w:right w:val="single" w:color="000000" w:sz="4" w:space="0"/>
            </w:tcBorders>
            <w:shd w:val="clear" w:color="auto" w:fill="auto"/>
            <w:vAlign w:val="center"/>
          </w:tcPr>
          <w:p>
            <w:pPr>
              <w:keepNext w:val="0"/>
              <w:keepLines w:val="0"/>
              <w:widowControl/>
              <w:suppressLineNumbers w:val="0"/>
              <w:ind w:right="302"/>
              <w:jc w:val="center"/>
              <w:textAlignment w:val="center"/>
              <w:rPr>
                <w:rFonts w:hint="default" w:ascii="宋体" w:hAnsi="宋体" w:eastAsia="宋体" w:cs="宋体"/>
                <w:i w:val="0"/>
                <w:iCs w:val="0"/>
                <w:color w:val="000000"/>
                <w:kern w:val="0"/>
                <w:sz w:val="24"/>
                <w:szCs w:val="24"/>
                <w:u w:val="none"/>
                <w:lang w:val="en-US" w:eastAsia="zh-CN" w:bidi="ar"/>
              </w:rPr>
            </w:pPr>
            <w:r>
              <w:rPr>
                <w:rFonts w:hint="eastAsia" w:cs="宋体"/>
                <w:i w:val="0"/>
                <w:iCs w:val="0"/>
                <w:color w:val="000000"/>
                <w:kern w:val="0"/>
                <w:sz w:val="24"/>
                <w:szCs w:val="24"/>
                <w:u w:val="none"/>
                <w:lang w:val="en-US" w:eastAsia="zh-CN" w:bidi="ar"/>
              </w:rPr>
              <w:t>汇聚机房</w:t>
            </w:r>
          </w:p>
        </w:tc>
        <w:tc>
          <w:tcPr>
            <w:tcW w:w="37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ind w:left="118" w:leftChars="0" w:right="98" w:rightChars="41" w:hanging="10" w:firstLineChars="0"/>
              <w:jc w:val="both"/>
              <w:textAlignment w:val="center"/>
              <w:rPr>
                <w:rFonts w:hint="eastAsia"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装饰装修、静电地板、灯具、精密空调系统、UPS配电系统、环境监测系统（含机房安防、报警、门禁等）、机房内综合布线系统、接地铜排及系统所需线管、线缆、配件。</w:t>
            </w:r>
          </w:p>
        </w:tc>
        <w:tc>
          <w:tcPr>
            <w:tcW w:w="594" w:type="dxa"/>
            <w:tcBorders>
              <w:top w:val="single" w:color="000000" w:sz="4" w:space="0"/>
              <w:left w:val="single" w:color="000000" w:sz="4" w:space="0"/>
              <w:bottom w:val="single" w:color="000000" w:sz="4" w:space="0"/>
              <w:right w:val="single" w:color="000000" w:sz="4" w:space="0"/>
            </w:tcBorders>
            <w:shd w:val="clear" w:color="auto" w:fill="FFFFFF"/>
            <w:vAlign w:val="center"/>
          </w:tcPr>
          <w:p>
            <w:pPr>
              <w:ind w:left="118" w:leftChars="0" w:right="697" w:rightChars="0" w:hanging="10" w:firstLineChars="0"/>
              <w:jc w:val="center"/>
              <w:rPr>
                <w:rFonts w:hint="eastAsia"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w:t>
            </w:r>
          </w:p>
        </w:tc>
        <w:tc>
          <w:tcPr>
            <w:tcW w:w="60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ind w:left="118" w:leftChars="0" w:right="697" w:rightChars="0" w:hanging="10" w:firstLineChars="0"/>
              <w:jc w:val="center"/>
              <w:textAlignment w:val="center"/>
              <w:rPr>
                <w:rFonts w:hint="eastAsia"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w:t>
            </w:r>
          </w:p>
        </w:tc>
        <w:tc>
          <w:tcPr>
            <w:tcW w:w="622" w:type="dxa"/>
            <w:tcBorders>
              <w:top w:val="single" w:color="000000" w:sz="4" w:space="0"/>
              <w:left w:val="single" w:color="000000" w:sz="4" w:space="0"/>
              <w:bottom w:val="single" w:color="000000" w:sz="4" w:space="0"/>
              <w:right w:val="single" w:color="000000" w:sz="4" w:space="0"/>
            </w:tcBorders>
            <w:shd w:val="clear" w:color="auto" w:fill="FFFFFF"/>
            <w:vAlign w:val="center"/>
          </w:tcPr>
          <w:p>
            <w:pPr>
              <w:ind w:left="118" w:leftChars="0" w:right="697" w:rightChars="0" w:hanging="10" w:firstLineChars="0"/>
              <w:jc w:val="center"/>
              <w:rPr>
                <w:rFonts w:hint="eastAsia" w:ascii="宋体" w:hAnsi="宋体" w:eastAsia="宋体" w:cs="宋体"/>
                <w:i w:val="0"/>
                <w:iCs w:val="0"/>
                <w:color w:val="000000"/>
                <w:kern w:val="2"/>
                <w:sz w:val="24"/>
                <w:szCs w:val="24"/>
                <w:u w:val="none"/>
                <w:lang w:val="en-US" w:eastAsia="zh-CN" w:bidi="ar-SA"/>
              </w:rPr>
            </w:pPr>
          </w:p>
        </w:tc>
        <w:tc>
          <w:tcPr>
            <w:tcW w:w="45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ind w:left="118" w:leftChars="0" w:right="697" w:rightChars="0" w:hanging="10" w:firstLineChars="0"/>
              <w:jc w:val="center"/>
              <w:textAlignment w:val="center"/>
              <w:rPr>
                <w:rFonts w:hint="eastAsia"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w:t>
            </w:r>
          </w:p>
        </w:tc>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118" w:leftChars="0" w:right="697" w:rightChars="0" w:hanging="10" w:firstLineChars="0"/>
              <w:jc w:val="center"/>
              <w:textAlignment w:val="center"/>
              <w:rPr>
                <w:rFonts w:hint="eastAsia"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w:t>
            </w:r>
          </w:p>
        </w:tc>
        <w:tc>
          <w:tcPr>
            <w:tcW w:w="583" w:type="dxa"/>
            <w:tcBorders>
              <w:top w:val="single" w:color="000000" w:sz="4" w:space="0"/>
              <w:left w:val="single" w:color="000000" w:sz="4" w:space="0"/>
              <w:bottom w:val="single" w:color="000000" w:sz="4" w:space="0"/>
              <w:right w:val="single" w:color="000000" w:sz="4" w:space="0"/>
            </w:tcBorders>
            <w:shd w:val="clear" w:color="auto" w:fill="FFFFFF"/>
            <w:vAlign w:val="center"/>
          </w:tcPr>
          <w:p>
            <w:pPr>
              <w:ind w:left="118" w:leftChars="0" w:right="697" w:rightChars="0" w:hanging="10" w:firstLineChars="0"/>
              <w:jc w:val="center"/>
              <w:rPr>
                <w:rFonts w:hint="eastAsia" w:ascii="宋体" w:hAnsi="宋体" w:eastAsia="宋体" w:cs="宋体"/>
                <w:i w:val="0"/>
                <w:iCs w:val="0"/>
                <w:color w:val="000000"/>
                <w:kern w:val="2"/>
                <w:sz w:val="24"/>
                <w:szCs w:val="24"/>
                <w:u w:val="none"/>
                <w:lang w:val="en-US" w:eastAsia="zh-CN" w:bidi="ar-SA"/>
              </w:rPr>
            </w:pPr>
          </w:p>
        </w:tc>
        <w:tc>
          <w:tcPr>
            <w:tcW w:w="661" w:type="dxa"/>
            <w:tcBorders>
              <w:top w:val="single" w:color="000000" w:sz="4" w:space="0"/>
              <w:left w:val="single" w:color="000000" w:sz="4" w:space="0"/>
              <w:bottom w:val="single" w:color="000000" w:sz="4" w:space="0"/>
              <w:right w:val="single" w:color="000000" w:sz="8" w:space="0"/>
            </w:tcBorders>
            <w:shd w:val="clear" w:color="auto" w:fill="FFFFFF"/>
            <w:vAlign w:val="center"/>
          </w:tcPr>
          <w:p>
            <w:pPr>
              <w:ind w:left="118" w:leftChars="0" w:right="697" w:rightChars="0" w:hanging="10" w:firstLineChars="0"/>
              <w:jc w:val="center"/>
              <w:rPr>
                <w:rFonts w:hint="eastAsia" w:ascii="宋体" w:hAnsi="宋体" w:eastAsia="宋体" w:cs="宋体"/>
                <w:i w:val="0"/>
                <w:iCs w:val="0"/>
                <w:color w:val="000000"/>
                <w:kern w:val="2"/>
                <w:sz w:val="24"/>
                <w:szCs w:val="24"/>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10700" w:type="dxa"/>
          <w:trHeight w:val="1125" w:hRule="atLeast"/>
        </w:trPr>
        <w:tc>
          <w:tcPr>
            <w:tcW w:w="1958" w:type="dxa"/>
            <w:vMerge w:val="continue"/>
            <w:tcBorders>
              <w:left w:val="single" w:color="000000" w:sz="8" w:space="0"/>
              <w:right w:val="single" w:color="000000" w:sz="4" w:space="0"/>
            </w:tcBorders>
            <w:shd w:val="clear" w:color="auto" w:fill="auto"/>
            <w:vAlign w:val="center"/>
          </w:tcPr>
          <w:p>
            <w:pPr>
              <w:keepNext w:val="0"/>
              <w:keepLines w:val="0"/>
              <w:widowControl/>
              <w:suppressLineNumbers w:val="0"/>
              <w:ind w:right="302"/>
              <w:jc w:val="center"/>
              <w:textAlignment w:val="center"/>
              <w:rPr>
                <w:rFonts w:hint="eastAsia" w:ascii="宋体" w:hAnsi="宋体" w:eastAsia="宋体" w:cs="宋体"/>
                <w:i w:val="0"/>
                <w:iCs w:val="0"/>
                <w:color w:val="000000"/>
                <w:kern w:val="0"/>
                <w:sz w:val="24"/>
                <w:szCs w:val="24"/>
                <w:u w:val="none"/>
                <w:lang w:val="en-US" w:eastAsia="zh-CN" w:bidi="ar"/>
              </w:rPr>
            </w:pPr>
          </w:p>
        </w:tc>
        <w:tc>
          <w:tcPr>
            <w:tcW w:w="37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ind w:left="118" w:leftChars="0" w:right="98" w:rightChars="41" w:hanging="10" w:firstLineChars="0"/>
              <w:jc w:val="both"/>
              <w:textAlignment w:val="center"/>
              <w:rPr>
                <w:rFonts w:hint="eastAsia"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火灾自动报警系统、气体灭火系统、泄压口安装等</w:t>
            </w:r>
          </w:p>
        </w:tc>
        <w:tc>
          <w:tcPr>
            <w:tcW w:w="594" w:type="dxa"/>
            <w:tcBorders>
              <w:top w:val="single" w:color="000000" w:sz="4" w:space="0"/>
              <w:left w:val="single" w:color="000000" w:sz="4" w:space="0"/>
              <w:bottom w:val="single" w:color="000000" w:sz="4" w:space="0"/>
              <w:right w:val="single" w:color="000000" w:sz="4" w:space="0"/>
            </w:tcBorders>
            <w:shd w:val="clear" w:color="auto" w:fill="FFFFFF"/>
            <w:vAlign w:val="center"/>
          </w:tcPr>
          <w:p>
            <w:pPr>
              <w:ind w:left="118" w:leftChars="0" w:right="697" w:rightChars="0" w:hanging="10" w:firstLineChars="0"/>
              <w:jc w:val="center"/>
              <w:rPr>
                <w:rFonts w:hint="eastAsia" w:ascii="宋体" w:hAnsi="宋体" w:eastAsia="宋体" w:cs="宋体"/>
                <w:i w:val="0"/>
                <w:iCs w:val="0"/>
                <w:color w:val="000000"/>
                <w:kern w:val="2"/>
                <w:sz w:val="24"/>
                <w:szCs w:val="24"/>
                <w:u w:val="none"/>
                <w:lang w:val="en-US" w:eastAsia="zh-CN" w:bidi="ar-SA"/>
              </w:rPr>
            </w:pPr>
          </w:p>
        </w:tc>
        <w:tc>
          <w:tcPr>
            <w:tcW w:w="60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ind w:left="118" w:leftChars="0" w:right="697" w:rightChars="0" w:hanging="10" w:firstLineChars="0"/>
              <w:jc w:val="center"/>
              <w:textAlignment w:val="center"/>
              <w:rPr>
                <w:rFonts w:hint="eastAsia"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w:t>
            </w:r>
          </w:p>
        </w:tc>
        <w:tc>
          <w:tcPr>
            <w:tcW w:w="622" w:type="dxa"/>
            <w:tcBorders>
              <w:top w:val="single" w:color="000000" w:sz="4" w:space="0"/>
              <w:left w:val="single" w:color="000000" w:sz="4" w:space="0"/>
              <w:bottom w:val="single" w:color="000000" w:sz="4" w:space="0"/>
              <w:right w:val="single" w:color="000000" w:sz="4" w:space="0"/>
            </w:tcBorders>
            <w:shd w:val="clear" w:color="auto" w:fill="FFFFFF"/>
            <w:vAlign w:val="center"/>
          </w:tcPr>
          <w:p>
            <w:pPr>
              <w:ind w:left="118" w:leftChars="0" w:right="697" w:rightChars="0" w:hanging="10" w:firstLineChars="0"/>
              <w:jc w:val="center"/>
              <w:rPr>
                <w:rFonts w:hint="eastAsia" w:ascii="宋体" w:hAnsi="宋体" w:eastAsia="宋体" w:cs="宋体"/>
                <w:i w:val="0"/>
                <w:iCs w:val="0"/>
                <w:color w:val="000000"/>
                <w:kern w:val="2"/>
                <w:sz w:val="24"/>
                <w:szCs w:val="24"/>
                <w:u w:val="none"/>
                <w:lang w:val="en-US" w:eastAsia="zh-CN" w:bidi="ar-SA"/>
              </w:rPr>
            </w:pPr>
          </w:p>
        </w:tc>
        <w:tc>
          <w:tcPr>
            <w:tcW w:w="45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ind w:left="118" w:leftChars="0" w:right="697" w:rightChars="0" w:hanging="10" w:firstLineChars="0"/>
              <w:jc w:val="center"/>
              <w:textAlignment w:val="center"/>
              <w:rPr>
                <w:rFonts w:hint="eastAsia"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w:t>
            </w:r>
          </w:p>
        </w:tc>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118" w:leftChars="0" w:right="697" w:rightChars="0" w:hanging="10" w:firstLineChars="0"/>
              <w:jc w:val="center"/>
              <w:textAlignment w:val="center"/>
              <w:rPr>
                <w:rFonts w:hint="eastAsia"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w:t>
            </w:r>
          </w:p>
        </w:tc>
        <w:tc>
          <w:tcPr>
            <w:tcW w:w="583" w:type="dxa"/>
            <w:tcBorders>
              <w:top w:val="single" w:color="000000" w:sz="4" w:space="0"/>
              <w:left w:val="single" w:color="000000" w:sz="4" w:space="0"/>
              <w:bottom w:val="single" w:color="000000" w:sz="4" w:space="0"/>
              <w:right w:val="single" w:color="000000" w:sz="4" w:space="0"/>
            </w:tcBorders>
            <w:shd w:val="clear" w:color="auto" w:fill="FFFFFF"/>
            <w:vAlign w:val="center"/>
          </w:tcPr>
          <w:p>
            <w:pPr>
              <w:ind w:left="118" w:leftChars="0" w:right="697" w:rightChars="0" w:hanging="10" w:firstLineChars="0"/>
              <w:jc w:val="center"/>
              <w:rPr>
                <w:rFonts w:hint="eastAsia" w:ascii="宋体" w:hAnsi="宋体" w:eastAsia="宋体" w:cs="宋体"/>
                <w:i w:val="0"/>
                <w:iCs w:val="0"/>
                <w:color w:val="000000"/>
                <w:kern w:val="2"/>
                <w:sz w:val="24"/>
                <w:szCs w:val="24"/>
                <w:u w:val="none"/>
                <w:lang w:val="en-US" w:eastAsia="zh-CN" w:bidi="ar-SA"/>
              </w:rPr>
            </w:pPr>
          </w:p>
        </w:tc>
        <w:tc>
          <w:tcPr>
            <w:tcW w:w="661" w:type="dxa"/>
            <w:tcBorders>
              <w:top w:val="single" w:color="000000" w:sz="4" w:space="0"/>
              <w:left w:val="single" w:color="000000" w:sz="4" w:space="0"/>
              <w:bottom w:val="single" w:color="000000" w:sz="4" w:space="0"/>
              <w:right w:val="single" w:color="000000" w:sz="8" w:space="0"/>
            </w:tcBorders>
            <w:shd w:val="clear" w:color="auto" w:fill="FFFFFF"/>
            <w:vAlign w:val="center"/>
          </w:tcPr>
          <w:p>
            <w:pPr>
              <w:ind w:left="118" w:leftChars="0" w:right="697" w:rightChars="0" w:hanging="10" w:firstLineChars="0"/>
              <w:jc w:val="center"/>
              <w:rPr>
                <w:rFonts w:hint="eastAsia" w:ascii="宋体" w:hAnsi="宋体" w:eastAsia="宋体" w:cs="宋体"/>
                <w:i w:val="0"/>
                <w:iCs w:val="0"/>
                <w:color w:val="000000"/>
                <w:kern w:val="2"/>
                <w:sz w:val="24"/>
                <w:szCs w:val="24"/>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10700" w:type="dxa"/>
          <w:trHeight w:val="470" w:hRule="atLeast"/>
        </w:trPr>
        <w:tc>
          <w:tcPr>
            <w:tcW w:w="1958" w:type="dxa"/>
            <w:vMerge w:val="continue"/>
            <w:tcBorders>
              <w:left w:val="single" w:color="000000" w:sz="8" w:space="0"/>
              <w:right w:val="single" w:color="000000" w:sz="4" w:space="0"/>
            </w:tcBorders>
            <w:shd w:val="clear" w:color="auto" w:fill="auto"/>
            <w:vAlign w:val="center"/>
          </w:tcPr>
          <w:p>
            <w:pPr>
              <w:keepNext w:val="0"/>
              <w:keepLines w:val="0"/>
              <w:widowControl/>
              <w:suppressLineNumbers w:val="0"/>
              <w:ind w:right="302"/>
              <w:jc w:val="center"/>
              <w:textAlignment w:val="center"/>
              <w:rPr>
                <w:rFonts w:hint="eastAsia" w:ascii="宋体" w:hAnsi="宋体" w:eastAsia="宋体" w:cs="宋体"/>
                <w:i w:val="0"/>
                <w:iCs w:val="0"/>
                <w:color w:val="000000"/>
                <w:kern w:val="0"/>
                <w:sz w:val="24"/>
                <w:szCs w:val="24"/>
                <w:u w:val="none"/>
                <w:lang w:val="en-US" w:eastAsia="zh-CN" w:bidi="ar"/>
              </w:rPr>
            </w:pPr>
          </w:p>
        </w:tc>
        <w:tc>
          <w:tcPr>
            <w:tcW w:w="37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ind w:left="118" w:leftChars="0" w:right="98" w:rightChars="41" w:hanging="10" w:firstLineChars="0"/>
              <w:jc w:val="both"/>
              <w:textAlignment w:val="center"/>
              <w:rPr>
                <w:rFonts w:hint="eastAsia"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动力上口配电连接母排</w:t>
            </w:r>
          </w:p>
        </w:tc>
        <w:tc>
          <w:tcPr>
            <w:tcW w:w="594" w:type="dxa"/>
            <w:tcBorders>
              <w:top w:val="single" w:color="000000" w:sz="4" w:space="0"/>
              <w:left w:val="single" w:color="000000" w:sz="4" w:space="0"/>
              <w:bottom w:val="single" w:color="000000" w:sz="4" w:space="0"/>
              <w:right w:val="single" w:color="000000" w:sz="4" w:space="0"/>
            </w:tcBorders>
            <w:shd w:val="clear" w:color="auto" w:fill="FFFFFF"/>
            <w:vAlign w:val="center"/>
          </w:tcPr>
          <w:p>
            <w:pPr>
              <w:ind w:left="118" w:leftChars="0" w:right="697" w:rightChars="0" w:hanging="10" w:firstLineChars="0"/>
              <w:jc w:val="center"/>
              <w:rPr>
                <w:rFonts w:hint="eastAsia" w:ascii="宋体" w:hAnsi="宋体" w:eastAsia="宋体" w:cs="宋体"/>
                <w:i w:val="0"/>
                <w:iCs w:val="0"/>
                <w:color w:val="000000"/>
                <w:kern w:val="2"/>
                <w:sz w:val="24"/>
                <w:szCs w:val="24"/>
                <w:u w:val="none"/>
                <w:lang w:val="en-US" w:eastAsia="zh-CN" w:bidi="ar-SA"/>
              </w:rPr>
            </w:pPr>
          </w:p>
        </w:tc>
        <w:tc>
          <w:tcPr>
            <w:tcW w:w="60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ind w:left="118" w:leftChars="0" w:right="697" w:rightChars="0" w:hanging="10" w:firstLineChars="0"/>
              <w:jc w:val="center"/>
              <w:textAlignment w:val="center"/>
              <w:rPr>
                <w:rFonts w:hint="eastAsia"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w:t>
            </w:r>
          </w:p>
        </w:tc>
        <w:tc>
          <w:tcPr>
            <w:tcW w:w="622" w:type="dxa"/>
            <w:tcBorders>
              <w:top w:val="single" w:color="000000" w:sz="4" w:space="0"/>
              <w:left w:val="single" w:color="000000" w:sz="4" w:space="0"/>
              <w:bottom w:val="single" w:color="000000" w:sz="4" w:space="0"/>
              <w:right w:val="single" w:color="000000" w:sz="4" w:space="0"/>
            </w:tcBorders>
            <w:shd w:val="clear" w:color="auto" w:fill="FFFFFF"/>
            <w:vAlign w:val="center"/>
          </w:tcPr>
          <w:p>
            <w:pPr>
              <w:ind w:left="118" w:leftChars="0" w:right="697" w:rightChars="0" w:hanging="10" w:firstLineChars="0"/>
              <w:jc w:val="center"/>
              <w:rPr>
                <w:rFonts w:hint="eastAsia" w:ascii="宋体" w:hAnsi="宋体" w:eastAsia="宋体" w:cs="宋体"/>
                <w:i w:val="0"/>
                <w:iCs w:val="0"/>
                <w:color w:val="000000"/>
                <w:kern w:val="2"/>
                <w:sz w:val="24"/>
                <w:szCs w:val="24"/>
                <w:u w:val="none"/>
                <w:lang w:val="en-US" w:eastAsia="zh-CN" w:bidi="ar-SA"/>
              </w:rPr>
            </w:pPr>
          </w:p>
        </w:tc>
        <w:tc>
          <w:tcPr>
            <w:tcW w:w="455" w:type="dxa"/>
            <w:tcBorders>
              <w:top w:val="single" w:color="000000" w:sz="4" w:space="0"/>
              <w:left w:val="single" w:color="000000" w:sz="4" w:space="0"/>
              <w:bottom w:val="single" w:color="000000" w:sz="4" w:space="0"/>
              <w:right w:val="single" w:color="000000" w:sz="4" w:space="0"/>
            </w:tcBorders>
            <w:shd w:val="clear" w:color="auto" w:fill="FFFFFF"/>
            <w:vAlign w:val="center"/>
          </w:tcPr>
          <w:p>
            <w:pPr>
              <w:ind w:left="118" w:leftChars="0" w:right="697" w:rightChars="0" w:hanging="10" w:firstLineChars="0"/>
              <w:jc w:val="center"/>
              <w:rPr>
                <w:rFonts w:hint="eastAsia" w:ascii="宋体" w:hAnsi="宋体" w:eastAsia="宋体" w:cs="宋体"/>
                <w:i w:val="0"/>
                <w:iCs w:val="0"/>
                <w:color w:val="000000"/>
                <w:kern w:val="2"/>
                <w:sz w:val="24"/>
                <w:szCs w:val="24"/>
                <w:u w:val="none"/>
                <w:lang w:val="en-US" w:eastAsia="zh-CN" w:bidi="ar-SA"/>
              </w:rPr>
            </w:pPr>
          </w:p>
        </w:tc>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118" w:leftChars="0" w:right="697" w:rightChars="0" w:hanging="10" w:firstLineChars="0"/>
              <w:jc w:val="center"/>
              <w:textAlignment w:val="center"/>
              <w:rPr>
                <w:rFonts w:hint="eastAsia"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w:t>
            </w:r>
          </w:p>
        </w:tc>
        <w:tc>
          <w:tcPr>
            <w:tcW w:w="583" w:type="dxa"/>
            <w:tcBorders>
              <w:top w:val="single" w:color="000000" w:sz="4" w:space="0"/>
              <w:left w:val="single" w:color="000000" w:sz="4" w:space="0"/>
              <w:bottom w:val="single" w:color="000000" w:sz="4" w:space="0"/>
              <w:right w:val="single" w:color="000000" w:sz="4" w:space="0"/>
            </w:tcBorders>
            <w:shd w:val="clear" w:color="auto" w:fill="FFFFFF"/>
            <w:vAlign w:val="center"/>
          </w:tcPr>
          <w:p>
            <w:pPr>
              <w:ind w:left="118" w:leftChars="0" w:right="697" w:rightChars="0" w:hanging="10" w:firstLineChars="0"/>
              <w:jc w:val="center"/>
              <w:rPr>
                <w:rFonts w:hint="eastAsia" w:ascii="宋体" w:hAnsi="宋体" w:eastAsia="宋体" w:cs="宋体"/>
                <w:i w:val="0"/>
                <w:iCs w:val="0"/>
                <w:color w:val="000000"/>
                <w:kern w:val="2"/>
                <w:sz w:val="24"/>
                <w:szCs w:val="24"/>
                <w:u w:val="none"/>
                <w:lang w:val="en-US" w:eastAsia="zh-CN" w:bidi="ar-SA"/>
              </w:rPr>
            </w:pPr>
          </w:p>
        </w:tc>
        <w:tc>
          <w:tcPr>
            <w:tcW w:w="661" w:type="dxa"/>
            <w:tcBorders>
              <w:top w:val="single" w:color="000000" w:sz="4" w:space="0"/>
              <w:left w:val="single" w:color="000000" w:sz="4" w:space="0"/>
              <w:bottom w:val="single" w:color="000000" w:sz="4" w:space="0"/>
              <w:right w:val="single" w:color="000000" w:sz="8" w:space="0"/>
            </w:tcBorders>
            <w:shd w:val="clear" w:color="auto" w:fill="FFFFFF"/>
            <w:vAlign w:val="center"/>
          </w:tcPr>
          <w:p>
            <w:pPr>
              <w:ind w:left="118" w:leftChars="0" w:right="697" w:rightChars="0" w:hanging="10" w:firstLineChars="0"/>
              <w:jc w:val="center"/>
              <w:rPr>
                <w:rFonts w:hint="eastAsia" w:ascii="宋体" w:hAnsi="宋体" w:eastAsia="宋体" w:cs="宋体"/>
                <w:i w:val="0"/>
                <w:iCs w:val="0"/>
                <w:color w:val="000000"/>
                <w:kern w:val="2"/>
                <w:sz w:val="24"/>
                <w:szCs w:val="24"/>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10700" w:type="dxa"/>
          <w:trHeight w:val="521" w:hRule="atLeast"/>
        </w:trPr>
        <w:tc>
          <w:tcPr>
            <w:tcW w:w="1958" w:type="dxa"/>
            <w:vMerge w:val="continue"/>
            <w:tcBorders>
              <w:left w:val="single" w:color="000000" w:sz="8" w:space="0"/>
              <w:right w:val="single" w:color="000000" w:sz="4" w:space="0"/>
            </w:tcBorders>
            <w:shd w:val="clear" w:color="auto" w:fill="auto"/>
            <w:vAlign w:val="center"/>
          </w:tcPr>
          <w:p>
            <w:pPr>
              <w:keepNext w:val="0"/>
              <w:keepLines w:val="0"/>
              <w:widowControl/>
              <w:suppressLineNumbers w:val="0"/>
              <w:ind w:right="302"/>
              <w:jc w:val="center"/>
              <w:textAlignment w:val="center"/>
              <w:rPr>
                <w:rFonts w:hint="eastAsia" w:ascii="宋体" w:hAnsi="宋体" w:eastAsia="宋体" w:cs="宋体"/>
                <w:i w:val="0"/>
                <w:iCs w:val="0"/>
                <w:color w:val="000000"/>
                <w:kern w:val="0"/>
                <w:sz w:val="24"/>
                <w:szCs w:val="24"/>
                <w:u w:val="none"/>
                <w:lang w:val="en-US" w:eastAsia="zh-CN" w:bidi="ar"/>
              </w:rPr>
            </w:pPr>
          </w:p>
        </w:tc>
        <w:tc>
          <w:tcPr>
            <w:tcW w:w="37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ind w:left="118" w:leftChars="0" w:right="98" w:rightChars="41" w:hanging="10" w:firstLineChars="0"/>
              <w:jc w:val="both"/>
              <w:textAlignment w:val="center"/>
              <w:rPr>
                <w:rFonts w:hint="eastAsia"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下口配电箱/柜</w:t>
            </w:r>
          </w:p>
        </w:tc>
        <w:tc>
          <w:tcPr>
            <w:tcW w:w="594" w:type="dxa"/>
            <w:tcBorders>
              <w:top w:val="single" w:color="000000" w:sz="4" w:space="0"/>
              <w:left w:val="single" w:color="000000" w:sz="4" w:space="0"/>
              <w:bottom w:val="single" w:color="000000" w:sz="4" w:space="0"/>
              <w:right w:val="single" w:color="000000" w:sz="4" w:space="0"/>
            </w:tcBorders>
            <w:shd w:val="clear" w:color="auto" w:fill="FFFFFF"/>
            <w:vAlign w:val="center"/>
          </w:tcPr>
          <w:p>
            <w:pPr>
              <w:ind w:left="118" w:leftChars="0" w:right="697" w:rightChars="0" w:hanging="10" w:firstLineChars="0"/>
              <w:jc w:val="center"/>
              <w:rPr>
                <w:rFonts w:hint="eastAsia" w:ascii="宋体" w:hAnsi="宋体" w:eastAsia="宋体" w:cs="宋体"/>
                <w:i w:val="0"/>
                <w:iCs w:val="0"/>
                <w:color w:val="000000"/>
                <w:kern w:val="2"/>
                <w:sz w:val="24"/>
                <w:szCs w:val="24"/>
                <w:u w:val="none"/>
                <w:lang w:val="en-US" w:eastAsia="zh-CN" w:bidi="ar-SA"/>
              </w:rPr>
            </w:pPr>
          </w:p>
        </w:tc>
        <w:tc>
          <w:tcPr>
            <w:tcW w:w="60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ind w:left="118" w:leftChars="0" w:right="697" w:rightChars="0" w:hanging="10" w:firstLineChars="0"/>
              <w:jc w:val="center"/>
              <w:textAlignment w:val="center"/>
              <w:rPr>
                <w:rFonts w:hint="eastAsia"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w:t>
            </w:r>
          </w:p>
        </w:tc>
        <w:tc>
          <w:tcPr>
            <w:tcW w:w="622" w:type="dxa"/>
            <w:tcBorders>
              <w:top w:val="single" w:color="000000" w:sz="4" w:space="0"/>
              <w:left w:val="single" w:color="000000" w:sz="4" w:space="0"/>
              <w:bottom w:val="single" w:color="000000" w:sz="4" w:space="0"/>
              <w:right w:val="single" w:color="000000" w:sz="4" w:space="0"/>
            </w:tcBorders>
            <w:shd w:val="clear" w:color="auto" w:fill="FFFFFF"/>
            <w:vAlign w:val="center"/>
          </w:tcPr>
          <w:p>
            <w:pPr>
              <w:ind w:left="118" w:leftChars="0" w:right="697" w:rightChars="0" w:hanging="10" w:firstLineChars="0"/>
              <w:jc w:val="center"/>
              <w:rPr>
                <w:rFonts w:hint="eastAsia" w:ascii="宋体" w:hAnsi="宋体" w:eastAsia="宋体" w:cs="宋体"/>
                <w:i w:val="0"/>
                <w:iCs w:val="0"/>
                <w:color w:val="000000"/>
                <w:kern w:val="2"/>
                <w:sz w:val="24"/>
                <w:szCs w:val="24"/>
                <w:u w:val="none"/>
                <w:lang w:val="en-US" w:eastAsia="zh-CN" w:bidi="ar-SA"/>
              </w:rPr>
            </w:pPr>
          </w:p>
        </w:tc>
        <w:tc>
          <w:tcPr>
            <w:tcW w:w="455" w:type="dxa"/>
            <w:tcBorders>
              <w:top w:val="single" w:color="000000" w:sz="4" w:space="0"/>
              <w:left w:val="single" w:color="000000" w:sz="4" w:space="0"/>
              <w:bottom w:val="single" w:color="000000" w:sz="4" w:space="0"/>
              <w:right w:val="single" w:color="000000" w:sz="4" w:space="0"/>
            </w:tcBorders>
            <w:shd w:val="clear" w:color="auto" w:fill="FFFFFF"/>
            <w:vAlign w:val="center"/>
          </w:tcPr>
          <w:p>
            <w:pPr>
              <w:ind w:left="118" w:leftChars="0" w:right="697" w:rightChars="0" w:hanging="10" w:firstLineChars="0"/>
              <w:jc w:val="center"/>
              <w:rPr>
                <w:rFonts w:hint="eastAsia" w:ascii="宋体" w:hAnsi="宋体" w:eastAsia="宋体" w:cs="宋体"/>
                <w:i w:val="0"/>
                <w:iCs w:val="0"/>
                <w:color w:val="000000"/>
                <w:kern w:val="2"/>
                <w:sz w:val="24"/>
                <w:szCs w:val="24"/>
                <w:u w:val="none"/>
                <w:lang w:val="en-US" w:eastAsia="zh-CN" w:bidi="ar-SA"/>
              </w:rPr>
            </w:pPr>
          </w:p>
        </w:tc>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118" w:leftChars="0" w:right="697" w:rightChars="0" w:hanging="10" w:firstLineChars="0"/>
              <w:jc w:val="center"/>
              <w:textAlignment w:val="center"/>
              <w:rPr>
                <w:rFonts w:hint="eastAsia"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w:t>
            </w:r>
          </w:p>
        </w:tc>
        <w:tc>
          <w:tcPr>
            <w:tcW w:w="583" w:type="dxa"/>
            <w:tcBorders>
              <w:top w:val="single" w:color="000000" w:sz="4" w:space="0"/>
              <w:left w:val="single" w:color="000000" w:sz="4" w:space="0"/>
              <w:bottom w:val="single" w:color="000000" w:sz="4" w:space="0"/>
              <w:right w:val="single" w:color="000000" w:sz="4" w:space="0"/>
            </w:tcBorders>
            <w:shd w:val="clear" w:color="auto" w:fill="FFFFFF"/>
            <w:vAlign w:val="center"/>
          </w:tcPr>
          <w:p>
            <w:pPr>
              <w:ind w:left="118" w:leftChars="0" w:right="697" w:rightChars="0" w:hanging="10" w:firstLineChars="0"/>
              <w:jc w:val="center"/>
              <w:rPr>
                <w:rFonts w:hint="eastAsia" w:ascii="宋体" w:hAnsi="宋体" w:eastAsia="宋体" w:cs="宋体"/>
                <w:i w:val="0"/>
                <w:iCs w:val="0"/>
                <w:color w:val="000000"/>
                <w:kern w:val="2"/>
                <w:sz w:val="24"/>
                <w:szCs w:val="24"/>
                <w:u w:val="none"/>
                <w:lang w:val="en-US" w:eastAsia="zh-CN" w:bidi="ar-SA"/>
              </w:rPr>
            </w:pPr>
          </w:p>
        </w:tc>
        <w:tc>
          <w:tcPr>
            <w:tcW w:w="661" w:type="dxa"/>
            <w:tcBorders>
              <w:top w:val="single" w:color="000000" w:sz="4" w:space="0"/>
              <w:left w:val="single" w:color="000000" w:sz="4" w:space="0"/>
              <w:bottom w:val="single" w:color="000000" w:sz="4" w:space="0"/>
              <w:right w:val="single" w:color="000000" w:sz="8" w:space="0"/>
            </w:tcBorders>
            <w:shd w:val="clear" w:color="auto" w:fill="FFFFFF"/>
            <w:vAlign w:val="center"/>
          </w:tcPr>
          <w:p>
            <w:pPr>
              <w:ind w:left="118" w:leftChars="0" w:right="697" w:rightChars="0" w:hanging="10" w:firstLineChars="0"/>
              <w:jc w:val="center"/>
              <w:rPr>
                <w:rFonts w:hint="eastAsia" w:ascii="宋体" w:hAnsi="宋体" w:eastAsia="宋体" w:cs="宋体"/>
                <w:i w:val="0"/>
                <w:iCs w:val="0"/>
                <w:color w:val="000000"/>
                <w:kern w:val="2"/>
                <w:sz w:val="24"/>
                <w:szCs w:val="24"/>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10700" w:type="dxa"/>
          <w:trHeight w:val="514" w:hRule="atLeast"/>
        </w:trPr>
        <w:tc>
          <w:tcPr>
            <w:tcW w:w="1958" w:type="dxa"/>
            <w:vMerge w:val="continue"/>
            <w:tcBorders>
              <w:left w:val="single" w:color="000000" w:sz="8" w:space="0"/>
              <w:right w:val="single" w:color="000000" w:sz="4" w:space="0"/>
            </w:tcBorders>
            <w:shd w:val="clear" w:color="auto" w:fill="auto"/>
            <w:vAlign w:val="center"/>
          </w:tcPr>
          <w:p>
            <w:pPr>
              <w:keepNext w:val="0"/>
              <w:keepLines w:val="0"/>
              <w:widowControl/>
              <w:suppressLineNumbers w:val="0"/>
              <w:ind w:right="302"/>
              <w:jc w:val="center"/>
              <w:textAlignment w:val="center"/>
              <w:rPr>
                <w:rFonts w:hint="eastAsia" w:ascii="宋体" w:hAnsi="宋体" w:eastAsia="宋体" w:cs="宋体"/>
                <w:i w:val="0"/>
                <w:iCs w:val="0"/>
                <w:color w:val="000000"/>
                <w:kern w:val="0"/>
                <w:sz w:val="24"/>
                <w:szCs w:val="24"/>
                <w:u w:val="none"/>
                <w:lang w:val="en-US" w:eastAsia="zh-CN" w:bidi="ar"/>
              </w:rPr>
            </w:pPr>
          </w:p>
        </w:tc>
        <w:tc>
          <w:tcPr>
            <w:tcW w:w="37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ind w:left="118" w:leftChars="0" w:right="98" w:rightChars="41" w:hanging="10" w:firstLineChars="0"/>
              <w:jc w:val="both"/>
              <w:textAlignment w:val="center"/>
              <w:rPr>
                <w:rFonts w:hint="eastAsia"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精密空调上下水接口</w:t>
            </w:r>
          </w:p>
        </w:tc>
        <w:tc>
          <w:tcPr>
            <w:tcW w:w="594" w:type="dxa"/>
            <w:tcBorders>
              <w:top w:val="single" w:color="000000" w:sz="4" w:space="0"/>
              <w:left w:val="single" w:color="000000" w:sz="4" w:space="0"/>
              <w:bottom w:val="single" w:color="000000" w:sz="4" w:space="0"/>
              <w:right w:val="single" w:color="000000" w:sz="4" w:space="0"/>
            </w:tcBorders>
            <w:shd w:val="clear" w:color="auto" w:fill="FFFFFF"/>
            <w:vAlign w:val="center"/>
          </w:tcPr>
          <w:p>
            <w:pPr>
              <w:ind w:left="118" w:leftChars="0" w:right="697" w:rightChars="0" w:hanging="10" w:firstLineChars="0"/>
              <w:jc w:val="center"/>
              <w:rPr>
                <w:rFonts w:hint="eastAsia" w:ascii="宋体" w:hAnsi="宋体" w:eastAsia="宋体" w:cs="宋体"/>
                <w:i w:val="0"/>
                <w:iCs w:val="0"/>
                <w:color w:val="000000"/>
                <w:kern w:val="2"/>
                <w:sz w:val="24"/>
                <w:szCs w:val="24"/>
                <w:u w:val="none"/>
                <w:lang w:val="en-US" w:eastAsia="zh-CN" w:bidi="ar-SA"/>
              </w:rPr>
            </w:pPr>
          </w:p>
        </w:tc>
        <w:tc>
          <w:tcPr>
            <w:tcW w:w="60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ind w:left="118" w:leftChars="0" w:right="697" w:rightChars="0" w:hanging="10" w:firstLineChars="0"/>
              <w:jc w:val="center"/>
              <w:textAlignment w:val="center"/>
              <w:rPr>
                <w:rFonts w:hint="eastAsia"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w:t>
            </w:r>
          </w:p>
        </w:tc>
        <w:tc>
          <w:tcPr>
            <w:tcW w:w="622" w:type="dxa"/>
            <w:tcBorders>
              <w:top w:val="single" w:color="000000" w:sz="4" w:space="0"/>
              <w:left w:val="single" w:color="000000" w:sz="4" w:space="0"/>
              <w:bottom w:val="single" w:color="000000" w:sz="4" w:space="0"/>
              <w:right w:val="single" w:color="000000" w:sz="4" w:space="0"/>
            </w:tcBorders>
            <w:shd w:val="clear" w:color="auto" w:fill="FFFFFF"/>
            <w:vAlign w:val="center"/>
          </w:tcPr>
          <w:p>
            <w:pPr>
              <w:ind w:left="118" w:leftChars="0" w:right="697" w:rightChars="0" w:hanging="10" w:firstLineChars="0"/>
              <w:jc w:val="center"/>
              <w:rPr>
                <w:rFonts w:hint="eastAsia" w:ascii="宋体" w:hAnsi="宋体" w:eastAsia="宋体" w:cs="宋体"/>
                <w:i w:val="0"/>
                <w:iCs w:val="0"/>
                <w:color w:val="000000"/>
                <w:kern w:val="2"/>
                <w:sz w:val="24"/>
                <w:szCs w:val="24"/>
                <w:u w:val="none"/>
                <w:lang w:val="en-US" w:eastAsia="zh-CN" w:bidi="ar-SA"/>
              </w:rPr>
            </w:pPr>
          </w:p>
        </w:tc>
        <w:tc>
          <w:tcPr>
            <w:tcW w:w="455" w:type="dxa"/>
            <w:tcBorders>
              <w:top w:val="single" w:color="000000" w:sz="4" w:space="0"/>
              <w:left w:val="single" w:color="000000" w:sz="4" w:space="0"/>
              <w:bottom w:val="single" w:color="000000" w:sz="4" w:space="0"/>
              <w:right w:val="single" w:color="000000" w:sz="4" w:space="0"/>
            </w:tcBorders>
            <w:shd w:val="clear" w:color="auto" w:fill="FFFFFF"/>
            <w:vAlign w:val="center"/>
          </w:tcPr>
          <w:p>
            <w:pPr>
              <w:ind w:left="118" w:leftChars="0" w:right="697" w:rightChars="0" w:hanging="10" w:firstLineChars="0"/>
              <w:jc w:val="center"/>
              <w:rPr>
                <w:rFonts w:hint="eastAsia" w:ascii="宋体" w:hAnsi="宋体" w:eastAsia="宋体" w:cs="宋体"/>
                <w:i w:val="0"/>
                <w:iCs w:val="0"/>
                <w:color w:val="000000"/>
                <w:kern w:val="2"/>
                <w:sz w:val="24"/>
                <w:szCs w:val="24"/>
                <w:u w:val="none"/>
                <w:lang w:val="en-US" w:eastAsia="zh-CN" w:bidi="ar-SA"/>
              </w:rPr>
            </w:pPr>
          </w:p>
        </w:tc>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118" w:leftChars="0" w:right="697" w:rightChars="0" w:hanging="10" w:firstLineChars="0"/>
              <w:jc w:val="center"/>
              <w:textAlignment w:val="center"/>
              <w:rPr>
                <w:rFonts w:hint="eastAsia"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w:t>
            </w:r>
          </w:p>
        </w:tc>
        <w:tc>
          <w:tcPr>
            <w:tcW w:w="583" w:type="dxa"/>
            <w:tcBorders>
              <w:top w:val="single" w:color="000000" w:sz="4" w:space="0"/>
              <w:left w:val="single" w:color="000000" w:sz="4" w:space="0"/>
              <w:bottom w:val="single" w:color="000000" w:sz="4" w:space="0"/>
              <w:right w:val="single" w:color="000000" w:sz="4" w:space="0"/>
            </w:tcBorders>
            <w:shd w:val="clear" w:color="auto" w:fill="FFFFFF"/>
            <w:vAlign w:val="center"/>
          </w:tcPr>
          <w:p>
            <w:pPr>
              <w:ind w:left="118" w:leftChars="0" w:right="697" w:rightChars="0" w:hanging="10" w:firstLineChars="0"/>
              <w:jc w:val="center"/>
              <w:rPr>
                <w:rFonts w:hint="eastAsia" w:ascii="宋体" w:hAnsi="宋体" w:eastAsia="宋体" w:cs="宋体"/>
                <w:i w:val="0"/>
                <w:iCs w:val="0"/>
                <w:color w:val="000000"/>
                <w:kern w:val="2"/>
                <w:sz w:val="24"/>
                <w:szCs w:val="24"/>
                <w:u w:val="none"/>
                <w:lang w:val="en-US" w:eastAsia="zh-CN" w:bidi="ar-SA"/>
              </w:rPr>
            </w:pPr>
          </w:p>
        </w:tc>
        <w:tc>
          <w:tcPr>
            <w:tcW w:w="661" w:type="dxa"/>
            <w:tcBorders>
              <w:top w:val="single" w:color="000000" w:sz="4" w:space="0"/>
              <w:left w:val="single" w:color="000000" w:sz="4" w:space="0"/>
              <w:bottom w:val="single" w:color="000000" w:sz="4" w:space="0"/>
              <w:right w:val="single" w:color="000000" w:sz="8" w:space="0"/>
            </w:tcBorders>
            <w:shd w:val="clear" w:color="auto" w:fill="FFFFFF"/>
            <w:vAlign w:val="center"/>
          </w:tcPr>
          <w:p>
            <w:pPr>
              <w:ind w:left="118" w:leftChars="0" w:right="697" w:rightChars="0" w:hanging="10" w:firstLineChars="0"/>
              <w:jc w:val="center"/>
              <w:rPr>
                <w:rFonts w:hint="eastAsia" w:ascii="宋体" w:hAnsi="宋体" w:eastAsia="宋体" w:cs="宋体"/>
                <w:i w:val="0"/>
                <w:iCs w:val="0"/>
                <w:color w:val="000000"/>
                <w:kern w:val="2"/>
                <w:sz w:val="24"/>
                <w:szCs w:val="24"/>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10700" w:type="dxa"/>
          <w:trHeight w:val="537" w:hRule="atLeast"/>
        </w:trPr>
        <w:tc>
          <w:tcPr>
            <w:tcW w:w="1958" w:type="dxa"/>
            <w:vMerge w:val="continue"/>
            <w:tcBorders>
              <w:left w:val="single" w:color="000000" w:sz="8" w:space="0"/>
              <w:right w:val="single" w:color="000000" w:sz="4" w:space="0"/>
            </w:tcBorders>
            <w:shd w:val="clear" w:color="auto" w:fill="auto"/>
            <w:vAlign w:val="center"/>
          </w:tcPr>
          <w:p>
            <w:pPr>
              <w:keepNext w:val="0"/>
              <w:keepLines w:val="0"/>
              <w:widowControl/>
              <w:suppressLineNumbers w:val="0"/>
              <w:ind w:right="302"/>
              <w:jc w:val="center"/>
              <w:textAlignment w:val="center"/>
              <w:rPr>
                <w:rFonts w:hint="eastAsia" w:ascii="宋体" w:hAnsi="宋体" w:eastAsia="宋体" w:cs="宋体"/>
                <w:i w:val="0"/>
                <w:iCs w:val="0"/>
                <w:color w:val="000000"/>
                <w:kern w:val="0"/>
                <w:sz w:val="24"/>
                <w:szCs w:val="24"/>
                <w:u w:val="none"/>
                <w:lang w:val="en-US" w:eastAsia="zh-CN" w:bidi="ar"/>
              </w:rPr>
            </w:pPr>
          </w:p>
        </w:tc>
        <w:tc>
          <w:tcPr>
            <w:tcW w:w="37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ind w:left="118" w:leftChars="0" w:right="98" w:rightChars="41" w:hanging="10" w:firstLineChars="0"/>
              <w:jc w:val="both"/>
              <w:textAlignment w:val="center"/>
              <w:rPr>
                <w:rFonts w:hint="eastAsia"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精密空调上水管、冷凝水下水管</w:t>
            </w:r>
          </w:p>
        </w:tc>
        <w:tc>
          <w:tcPr>
            <w:tcW w:w="594" w:type="dxa"/>
            <w:tcBorders>
              <w:top w:val="single" w:color="000000" w:sz="4" w:space="0"/>
              <w:left w:val="single" w:color="000000" w:sz="4" w:space="0"/>
              <w:bottom w:val="single" w:color="000000" w:sz="4" w:space="0"/>
              <w:right w:val="single" w:color="000000" w:sz="4" w:space="0"/>
            </w:tcBorders>
            <w:shd w:val="clear" w:color="auto" w:fill="FFFFFF"/>
            <w:vAlign w:val="center"/>
          </w:tcPr>
          <w:p>
            <w:pPr>
              <w:ind w:left="118" w:leftChars="0" w:right="697" w:rightChars="0" w:hanging="10" w:firstLineChars="0"/>
              <w:jc w:val="center"/>
              <w:rPr>
                <w:rFonts w:hint="eastAsia" w:ascii="宋体" w:hAnsi="宋体" w:eastAsia="宋体" w:cs="宋体"/>
                <w:i w:val="0"/>
                <w:iCs w:val="0"/>
                <w:color w:val="000000"/>
                <w:kern w:val="2"/>
                <w:sz w:val="24"/>
                <w:szCs w:val="24"/>
                <w:u w:val="none"/>
                <w:lang w:val="en-US" w:eastAsia="zh-CN" w:bidi="ar-SA"/>
              </w:rPr>
            </w:pPr>
          </w:p>
        </w:tc>
        <w:tc>
          <w:tcPr>
            <w:tcW w:w="60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ind w:left="118" w:leftChars="0" w:right="697" w:rightChars="0" w:hanging="10" w:firstLineChars="0"/>
              <w:jc w:val="center"/>
              <w:textAlignment w:val="center"/>
              <w:rPr>
                <w:rFonts w:hint="eastAsia"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w:t>
            </w:r>
          </w:p>
        </w:tc>
        <w:tc>
          <w:tcPr>
            <w:tcW w:w="622" w:type="dxa"/>
            <w:tcBorders>
              <w:top w:val="single" w:color="000000" w:sz="4" w:space="0"/>
              <w:left w:val="single" w:color="000000" w:sz="4" w:space="0"/>
              <w:bottom w:val="single" w:color="000000" w:sz="4" w:space="0"/>
              <w:right w:val="single" w:color="000000" w:sz="4" w:space="0"/>
            </w:tcBorders>
            <w:shd w:val="clear" w:color="auto" w:fill="FFFFFF"/>
            <w:vAlign w:val="center"/>
          </w:tcPr>
          <w:p>
            <w:pPr>
              <w:ind w:left="118" w:leftChars="0" w:right="697" w:rightChars="0" w:hanging="10" w:firstLineChars="0"/>
              <w:jc w:val="center"/>
              <w:rPr>
                <w:rFonts w:hint="eastAsia" w:ascii="宋体" w:hAnsi="宋体" w:eastAsia="宋体" w:cs="宋体"/>
                <w:i w:val="0"/>
                <w:iCs w:val="0"/>
                <w:color w:val="000000"/>
                <w:kern w:val="2"/>
                <w:sz w:val="24"/>
                <w:szCs w:val="24"/>
                <w:u w:val="none"/>
                <w:lang w:val="en-US" w:eastAsia="zh-CN" w:bidi="ar-SA"/>
              </w:rPr>
            </w:pPr>
          </w:p>
        </w:tc>
        <w:tc>
          <w:tcPr>
            <w:tcW w:w="455" w:type="dxa"/>
            <w:tcBorders>
              <w:top w:val="single" w:color="000000" w:sz="4" w:space="0"/>
              <w:left w:val="single" w:color="000000" w:sz="4" w:space="0"/>
              <w:bottom w:val="single" w:color="000000" w:sz="4" w:space="0"/>
              <w:right w:val="single" w:color="000000" w:sz="4" w:space="0"/>
            </w:tcBorders>
            <w:shd w:val="clear" w:color="auto" w:fill="FFFFFF"/>
            <w:vAlign w:val="center"/>
          </w:tcPr>
          <w:p>
            <w:pPr>
              <w:ind w:left="118" w:leftChars="0" w:right="697" w:rightChars="0" w:hanging="10" w:firstLineChars="0"/>
              <w:jc w:val="center"/>
              <w:rPr>
                <w:rFonts w:hint="eastAsia" w:ascii="宋体" w:hAnsi="宋体" w:eastAsia="宋体" w:cs="宋体"/>
                <w:i w:val="0"/>
                <w:iCs w:val="0"/>
                <w:color w:val="000000"/>
                <w:kern w:val="2"/>
                <w:sz w:val="24"/>
                <w:szCs w:val="24"/>
                <w:u w:val="none"/>
                <w:lang w:val="en-US" w:eastAsia="zh-CN" w:bidi="ar-SA"/>
              </w:rPr>
            </w:pPr>
          </w:p>
        </w:tc>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118" w:leftChars="0" w:right="697" w:rightChars="0" w:hanging="10" w:firstLineChars="0"/>
              <w:jc w:val="center"/>
              <w:textAlignment w:val="center"/>
              <w:rPr>
                <w:rFonts w:hint="eastAsia"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w:t>
            </w:r>
          </w:p>
        </w:tc>
        <w:tc>
          <w:tcPr>
            <w:tcW w:w="583" w:type="dxa"/>
            <w:tcBorders>
              <w:top w:val="single" w:color="000000" w:sz="4" w:space="0"/>
              <w:left w:val="single" w:color="000000" w:sz="4" w:space="0"/>
              <w:bottom w:val="single" w:color="000000" w:sz="4" w:space="0"/>
              <w:right w:val="single" w:color="000000" w:sz="4" w:space="0"/>
            </w:tcBorders>
            <w:shd w:val="clear" w:color="auto" w:fill="FFFFFF"/>
            <w:vAlign w:val="center"/>
          </w:tcPr>
          <w:p>
            <w:pPr>
              <w:ind w:left="118" w:leftChars="0" w:right="697" w:rightChars="0" w:hanging="10" w:firstLineChars="0"/>
              <w:jc w:val="center"/>
              <w:rPr>
                <w:rFonts w:hint="eastAsia" w:ascii="宋体" w:hAnsi="宋体" w:eastAsia="宋体" w:cs="宋体"/>
                <w:i w:val="0"/>
                <w:iCs w:val="0"/>
                <w:color w:val="000000"/>
                <w:kern w:val="2"/>
                <w:sz w:val="24"/>
                <w:szCs w:val="24"/>
                <w:u w:val="none"/>
                <w:lang w:val="en-US" w:eastAsia="zh-CN" w:bidi="ar-SA"/>
              </w:rPr>
            </w:pPr>
          </w:p>
        </w:tc>
        <w:tc>
          <w:tcPr>
            <w:tcW w:w="661" w:type="dxa"/>
            <w:tcBorders>
              <w:top w:val="single" w:color="000000" w:sz="4" w:space="0"/>
              <w:left w:val="single" w:color="000000" w:sz="4" w:space="0"/>
              <w:bottom w:val="single" w:color="000000" w:sz="4" w:space="0"/>
              <w:right w:val="single" w:color="000000" w:sz="8" w:space="0"/>
            </w:tcBorders>
            <w:shd w:val="clear" w:color="auto" w:fill="FFFFFF"/>
            <w:vAlign w:val="center"/>
          </w:tcPr>
          <w:p>
            <w:pPr>
              <w:ind w:left="118" w:leftChars="0" w:right="697" w:rightChars="0" w:hanging="10" w:firstLineChars="0"/>
              <w:jc w:val="center"/>
              <w:rPr>
                <w:rFonts w:hint="eastAsia" w:ascii="宋体" w:hAnsi="宋体" w:eastAsia="宋体" w:cs="宋体"/>
                <w:i w:val="0"/>
                <w:iCs w:val="0"/>
                <w:color w:val="000000"/>
                <w:kern w:val="2"/>
                <w:sz w:val="24"/>
                <w:szCs w:val="24"/>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10700" w:type="dxa"/>
          <w:trHeight w:val="676" w:hRule="atLeast"/>
        </w:trPr>
        <w:tc>
          <w:tcPr>
            <w:tcW w:w="1958" w:type="dxa"/>
            <w:vMerge w:val="continue"/>
            <w:tcBorders>
              <w:left w:val="single" w:color="000000" w:sz="8" w:space="0"/>
              <w:right w:val="single" w:color="000000" w:sz="4" w:space="0"/>
            </w:tcBorders>
            <w:shd w:val="clear" w:color="auto" w:fill="auto"/>
            <w:vAlign w:val="center"/>
          </w:tcPr>
          <w:p>
            <w:pPr>
              <w:keepNext w:val="0"/>
              <w:keepLines w:val="0"/>
              <w:widowControl/>
              <w:suppressLineNumbers w:val="0"/>
              <w:ind w:right="302"/>
              <w:jc w:val="center"/>
              <w:textAlignment w:val="center"/>
              <w:rPr>
                <w:rFonts w:hint="eastAsia" w:ascii="宋体" w:hAnsi="宋体" w:eastAsia="宋体" w:cs="宋体"/>
                <w:i w:val="0"/>
                <w:iCs w:val="0"/>
                <w:color w:val="000000"/>
                <w:kern w:val="0"/>
                <w:sz w:val="24"/>
                <w:szCs w:val="24"/>
                <w:u w:val="none"/>
                <w:lang w:val="en-US" w:eastAsia="zh-CN" w:bidi="ar"/>
              </w:rPr>
            </w:pPr>
          </w:p>
        </w:tc>
        <w:tc>
          <w:tcPr>
            <w:tcW w:w="37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ind w:left="118" w:leftChars="0" w:right="98" w:rightChars="41" w:hanging="10" w:firstLineChars="0"/>
              <w:jc w:val="both"/>
              <w:textAlignment w:val="center"/>
              <w:rPr>
                <w:rFonts w:hint="eastAsia"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动力环境系统（含机房安防、报警、门禁等）</w:t>
            </w:r>
          </w:p>
        </w:tc>
        <w:tc>
          <w:tcPr>
            <w:tcW w:w="594" w:type="dxa"/>
            <w:tcBorders>
              <w:top w:val="single" w:color="000000" w:sz="4" w:space="0"/>
              <w:left w:val="single" w:color="000000" w:sz="4" w:space="0"/>
              <w:bottom w:val="single" w:color="000000" w:sz="4" w:space="0"/>
              <w:right w:val="single" w:color="000000" w:sz="4" w:space="0"/>
            </w:tcBorders>
            <w:shd w:val="clear" w:color="auto" w:fill="FFFFFF"/>
            <w:vAlign w:val="center"/>
          </w:tcPr>
          <w:p>
            <w:pPr>
              <w:ind w:left="118" w:leftChars="0" w:right="697" w:rightChars="0" w:hanging="10" w:firstLineChars="0"/>
              <w:jc w:val="center"/>
              <w:rPr>
                <w:rFonts w:hint="eastAsia" w:ascii="宋体" w:hAnsi="宋体" w:eastAsia="宋体" w:cs="宋体"/>
                <w:i w:val="0"/>
                <w:iCs w:val="0"/>
                <w:color w:val="000000"/>
                <w:kern w:val="2"/>
                <w:sz w:val="24"/>
                <w:szCs w:val="24"/>
                <w:u w:val="none"/>
                <w:lang w:val="en-US" w:eastAsia="zh-CN" w:bidi="ar-SA"/>
              </w:rPr>
            </w:pPr>
          </w:p>
        </w:tc>
        <w:tc>
          <w:tcPr>
            <w:tcW w:w="60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ind w:left="118" w:leftChars="0" w:right="697" w:rightChars="0" w:hanging="10" w:firstLineChars="0"/>
              <w:jc w:val="center"/>
              <w:textAlignment w:val="center"/>
              <w:rPr>
                <w:rFonts w:hint="eastAsia"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w:t>
            </w:r>
          </w:p>
        </w:tc>
        <w:tc>
          <w:tcPr>
            <w:tcW w:w="622" w:type="dxa"/>
            <w:tcBorders>
              <w:top w:val="single" w:color="000000" w:sz="4" w:space="0"/>
              <w:left w:val="single" w:color="000000" w:sz="4" w:space="0"/>
              <w:bottom w:val="single" w:color="000000" w:sz="4" w:space="0"/>
              <w:right w:val="single" w:color="000000" w:sz="4" w:space="0"/>
            </w:tcBorders>
            <w:shd w:val="clear" w:color="auto" w:fill="FFFFFF"/>
            <w:vAlign w:val="center"/>
          </w:tcPr>
          <w:p>
            <w:pPr>
              <w:ind w:left="118" w:leftChars="0" w:right="697" w:rightChars="0" w:hanging="10" w:firstLineChars="0"/>
              <w:jc w:val="center"/>
              <w:rPr>
                <w:rFonts w:hint="eastAsia" w:ascii="宋体" w:hAnsi="宋体" w:eastAsia="宋体" w:cs="宋体"/>
                <w:i w:val="0"/>
                <w:iCs w:val="0"/>
                <w:color w:val="000000"/>
                <w:kern w:val="2"/>
                <w:sz w:val="24"/>
                <w:szCs w:val="24"/>
                <w:u w:val="none"/>
                <w:lang w:val="en-US" w:eastAsia="zh-CN" w:bidi="ar-SA"/>
              </w:rPr>
            </w:pPr>
          </w:p>
        </w:tc>
        <w:tc>
          <w:tcPr>
            <w:tcW w:w="45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ind w:left="118" w:leftChars="0" w:right="697" w:rightChars="0" w:hanging="10" w:firstLineChars="0"/>
              <w:jc w:val="center"/>
              <w:textAlignment w:val="center"/>
              <w:rPr>
                <w:rFonts w:hint="eastAsia"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w:t>
            </w:r>
          </w:p>
        </w:tc>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118" w:leftChars="0" w:right="697" w:rightChars="0" w:hanging="10" w:firstLineChars="0"/>
              <w:jc w:val="center"/>
              <w:textAlignment w:val="center"/>
              <w:rPr>
                <w:rFonts w:hint="eastAsia"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w:t>
            </w:r>
          </w:p>
        </w:tc>
        <w:tc>
          <w:tcPr>
            <w:tcW w:w="583" w:type="dxa"/>
            <w:tcBorders>
              <w:top w:val="single" w:color="000000" w:sz="4" w:space="0"/>
              <w:left w:val="single" w:color="000000" w:sz="4" w:space="0"/>
              <w:bottom w:val="single" w:color="000000" w:sz="4" w:space="0"/>
              <w:right w:val="single" w:color="000000" w:sz="4" w:space="0"/>
            </w:tcBorders>
            <w:shd w:val="clear" w:color="auto" w:fill="FFFFFF"/>
            <w:vAlign w:val="center"/>
          </w:tcPr>
          <w:p>
            <w:pPr>
              <w:ind w:left="118" w:leftChars="0" w:right="697" w:rightChars="0" w:hanging="10" w:firstLineChars="0"/>
              <w:jc w:val="center"/>
              <w:rPr>
                <w:rFonts w:hint="eastAsia" w:ascii="宋体" w:hAnsi="宋体" w:eastAsia="宋体" w:cs="宋体"/>
                <w:i w:val="0"/>
                <w:iCs w:val="0"/>
                <w:color w:val="000000"/>
                <w:kern w:val="2"/>
                <w:sz w:val="24"/>
                <w:szCs w:val="24"/>
                <w:u w:val="none"/>
                <w:lang w:val="en-US" w:eastAsia="zh-CN" w:bidi="ar-SA"/>
              </w:rPr>
            </w:pPr>
          </w:p>
        </w:tc>
        <w:tc>
          <w:tcPr>
            <w:tcW w:w="661" w:type="dxa"/>
            <w:tcBorders>
              <w:top w:val="single" w:color="000000" w:sz="4" w:space="0"/>
              <w:left w:val="single" w:color="000000" w:sz="4" w:space="0"/>
              <w:bottom w:val="single" w:color="000000" w:sz="4" w:space="0"/>
              <w:right w:val="single" w:color="000000" w:sz="8" w:space="0"/>
            </w:tcBorders>
            <w:shd w:val="clear" w:color="auto" w:fill="FFFFFF"/>
            <w:vAlign w:val="center"/>
          </w:tcPr>
          <w:p>
            <w:pPr>
              <w:ind w:left="118" w:leftChars="0" w:right="697" w:rightChars="0" w:hanging="10" w:firstLineChars="0"/>
              <w:jc w:val="center"/>
              <w:rPr>
                <w:rFonts w:hint="eastAsia" w:ascii="宋体" w:hAnsi="宋体" w:eastAsia="宋体" w:cs="宋体"/>
                <w:i w:val="0"/>
                <w:iCs w:val="0"/>
                <w:color w:val="000000"/>
                <w:kern w:val="2"/>
                <w:sz w:val="24"/>
                <w:szCs w:val="24"/>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10700" w:type="dxa"/>
          <w:trHeight w:val="674" w:hRule="atLeast"/>
        </w:trPr>
        <w:tc>
          <w:tcPr>
            <w:tcW w:w="1958" w:type="dxa"/>
            <w:vMerge w:val="continue"/>
            <w:tcBorders>
              <w:left w:val="single" w:color="000000" w:sz="8" w:space="0"/>
              <w:right w:val="single" w:color="000000" w:sz="4" w:space="0"/>
            </w:tcBorders>
            <w:shd w:val="clear" w:color="auto" w:fill="auto"/>
            <w:vAlign w:val="center"/>
          </w:tcPr>
          <w:p>
            <w:pPr>
              <w:keepNext w:val="0"/>
              <w:keepLines w:val="0"/>
              <w:widowControl/>
              <w:suppressLineNumbers w:val="0"/>
              <w:ind w:right="302"/>
              <w:jc w:val="center"/>
              <w:textAlignment w:val="center"/>
              <w:rPr>
                <w:rFonts w:hint="eastAsia" w:ascii="宋体" w:hAnsi="宋体" w:eastAsia="宋体" w:cs="宋体"/>
                <w:i w:val="0"/>
                <w:iCs w:val="0"/>
                <w:color w:val="000000"/>
                <w:kern w:val="0"/>
                <w:sz w:val="24"/>
                <w:szCs w:val="24"/>
                <w:u w:val="none"/>
                <w:lang w:val="en-US" w:eastAsia="zh-CN" w:bidi="ar"/>
              </w:rPr>
            </w:pPr>
          </w:p>
        </w:tc>
        <w:tc>
          <w:tcPr>
            <w:tcW w:w="37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ind w:left="118" w:leftChars="0" w:right="98" w:rightChars="41" w:hanging="10" w:firstLineChars="0"/>
              <w:jc w:val="both"/>
              <w:textAlignment w:val="center"/>
              <w:rPr>
                <w:rFonts w:hint="eastAsia"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运营商进线</w:t>
            </w:r>
          </w:p>
        </w:tc>
        <w:tc>
          <w:tcPr>
            <w:tcW w:w="59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ind w:left="118" w:leftChars="0" w:right="697" w:rightChars="0" w:hanging="10" w:firstLineChars="0"/>
              <w:jc w:val="center"/>
              <w:textAlignment w:val="center"/>
              <w:rPr>
                <w:rFonts w:hint="eastAsia"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w:t>
            </w:r>
          </w:p>
        </w:tc>
        <w:tc>
          <w:tcPr>
            <w:tcW w:w="600" w:type="dxa"/>
            <w:tcBorders>
              <w:top w:val="single" w:color="000000" w:sz="4" w:space="0"/>
              <w:left w:val="single" w:color="000000" w:sz="4" w:space="0"/>
              <w:bottom w:val="single" w:color="000000" w:sz="4" w:space="0"/>
              <w:right w:val="single" w:color="000000" w:sz="4" w:space="0"/>
            </w:tcBorders>
            <w:shd w:val="clear" w:color="auto" w:fill="FFFFFF"/>
            <w:vAlign w:val="center"/>
          </w:tcPr>
          <w:p>
            <w:pPr>
              <w:ind w:left="118" w:leftChars="0" w:right="697" w:rightChars="0" w:hanging="10" w:firstLineChars="0"/>
              <w:jc w:val="center"/>
              <w:rPr>
                <w:rFonts w:hint="eastAsia" w:ascii="宋体" w:hAnsi="宋体" w:eastAsia="宋体" w:cs="宋体"/>
                <w:i w:val="0"/>
                <w:iCs w:val="0"/>
                <w:color w:val="000000"/>
                <w:kern w:val="2"/>
                <w:sz w:val="24"/>
                <w:szCs w:val="24"/>
                <w:u w:val="none"/>
                <w:lang w:val="en-US" w:eastAsia="zh-CN" w:bidi="ar-SA"/>
              </w:rPr>
            </w:pPr>
          </w:p>
        </w:tc>
        <w:tc>
          <w:tcPr>
            <w:tcW w:w="622" w:type="dxa"/>
            <w:tcBorders>
              <w:top w:val="single" w:color="000000" w:sz="4" w:space="0"/>
              <w:left w:val="single" w:color="000000" w:sz="4" w:space="0"/>
              <w:bottom w:val="single" w:color="000000" w:sz="4" w:space="0"/>
              <w:right w:val="single" w:color="000000" w:sz="4" w:space="0"/>
            </w:tcBorders>
            <w:shd w:val="clear" w:color="auto" w:fill="FFFFFF"/>
            <w:vAlign w:val="center"/>
          </w:tcPr>
          <w:p>
            <w:pPr>
              <w:ind w:left="118" w:leftChars="0" w:right="697" w:rightChars="0" w:hanging="10" w:firstLineChars="0"/>
              <w:jc w:val="center"/>
              <w:rPr>
                <w:rFonts w:hint="eastAsia" w:ascii="宋体" w:hAnsi="宋体" w:eastAsia="宋体" w:cs="宋体"/>
                <w:i w:val="0"/>
                <w:iCs w:val="0"/>
                <w:color w:val="000000"/>
                <w:kern w:val="2"/>
                <w:sz w:val="24"/>
                <w:szCs w:val="24"/>
                <w:u w:val="none"/>
                <w:lang w:val="en-US" w:eastAsia="zh-CN" w:bidi="ar-SA"/>
              </w:rPr>
            </w:pPr>
          </w:p>
        </w:tc>
        <w:tc>
          <w:tcPr>
            <w:tcW w:w="455" w:type="dxa"/>
            <w:tcBorders>
              <w:top w:val="single" w:color="000000" w:sz="4" w:space="0"/>
              <w:left w:val="single" w:color="000000" w:sz="4" w:space="0"/>
              <w:bottom w:val="single" w:color="000000" w:sz="4" w:space="0"/>
              <w:right w:val="single" w:color="000000" w:sz="4" w:space="0"/>
            </w:tcBorders>
            <w:shd w:val="clear" w:color="auto" w:fill="FFFFFF"/>
            <w:vAlign w:val="center"/>
          </w:tcPr>
          <w:p>
            <w:pPr>
              <w:ind w:left="118" w:leftChars="0" w:right="697" w:rightChars="0" w:hanging="10" w:firstLineChars="0"/>
              <w:jc w:val="center"/>
              <w:rPr>
                <w:rFonts w:hint="eastAsia" w:ascii="宋体" w:hAnsi="宋体" w:eastAsia="宋体" w:cs="宋体"/>
                <w:i w:val="0"/>
                <w:iCs w:val="0"/>
                <w:color w:val="000000"/>
                <w:kern w:val="2"/>
                <w:sz w:val="24"/>
                <w:szCs w:val="24"/>
                <w:u w:val="none"/>
                <w:lang w:val="en-US" w:eastAsia="zh-CN" w:bidi="ar-SA"/>
              </w:rPr>
            </w:pPr>
          </w:p>
        </w:tc>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118" w:leftChars="0" w:right="697" w:rightChars="0" w:hanging="10" w:firstLineChars="0"/>
              <w:jc w:val="center"/>
              <w:textAlignment w:val="center"/>
              <w:rPr>
                <w:rFonts w:hint="eastAsia"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w:t>
            </w:r>
          </w:p>
        </w:tc>
        <w:tc>
          <w:tcPr>
            <w:tcW w:w="58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ind w:left="118" w:leftChars="0" w:right="697" w:rightChars="0" w:hanging="10" w:firstLineChars="0"/>
              <w:jc w:val="center"/>
              <w:textAlignment w:val="center"/>
              <w:rPr>
                <w:rFonts w:hint="eastAsia"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w:t>
            </w:r>
          </w:p>
        </w:tc>
        <w:tc>
          <w:tcPr>
            <w:tcW w:w="661" w:type="dxa"/>
            <w:tcBorders>
              <w:top w:val="single" w:color="000000" w:sz="4" w:space="0"/>
              <w:left w:val="single" w:color="000000" w:sz="4" w:space="0"/>
              <w:bottom w:val="single" w:color="000000" w:sz="4" w:space="0"/>
              <w:right w:val="single" w:color="000000" w:sz="8" w:space="0"/>
            </w:tcBorders>
            <w:shd w:val="clear" w:color="auto" w:fill="FFFFFF"/>
            <w:vAlign w:val="center"/>
          </w:tcPr>
          <w:p>
            <w:pPr>
              <w:ind w:left="118" w:leftChars="0" w:right="697" w:rightChars="0" w:hanging="10" w:firstLineChars="0"/>
              <w:jc w:val="center"/>
              <w:rPr>
                <w:rFonts w:hint="eastAsia" w:ascii="宋体" w:hAnsi="宋体" w:eastAsia="宋体" w:cs="宋体"/>
                <w:i w:val="0"/>
                <w:iCs w:val="0"/>
                <w:color w:val="000000"/>
                <w:kern w:val="2"/>
                <w:sz w:val="24"/>
                <w:szCs w:val="24"/>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10700" w:type="dxa"/>
          <w:trHeight w:val="654" w:hRule="atLeast"/>
        </w:trPr>
        <w:tc>
          <w:tcPr>
            <w:tcW w:w="1958" w:type="dxa"/>
            <w:vMerge w:val="continue"/>
            <w:tcBorders>
              <w:left w:val="single" w:color="000000" w:sz="8" w:space="0"/>
              <w:bottom w:val="nil"/>
              <w:right w:val="single" w:color="000000" w:sz="4" w:space="0"/>
            </w:tcBorders>
            <w:shd w:val="clear" w:color="auto" w:fill="auto"/>
            <w:vAlign w:val="center"/>
          </w:tcPr>
          <w:p>
            <w:pPr>
              <w:keepNext w:val="0"/>
              <w:keepLines w:val="0"/>
              <w:widowControl/>
              <w:suppressLineNumbers w:val="0"/>
              <w:ind w:right="302"/>
              <w:jc w:val="center"/>
              <w:textAlignment w:val="center"/>
              <w:rPr>
                <w:rFonts w:hint="eastAsia" w:ascii="宋体" w:hAnsi="宋体" w:eastAsia="宋体" w:cs="宋体"/>
                <w:i w:val="0"/>
                <w:iCs w:val="0"/>
                <w:color w:val="000000"/>
                <w:kern w:val="0"/>
                <w:sz w:val="24"/>
                <w:szCs w:val="24"/>
                <w:u w:val="none"/>
                <w:lang w:val="en-US" w:eastAsia="zh-CN" w:bidi="ar"/>
              </w:rPr>
            </w:pPr>
          </w:p>
        </w:tc>
        <w:tc>
          <w:tcPr>
            <w:tcW w:w="37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ind w:left="118" w:leftChars="0" w:right="98" w:rightChars="41" w:hanging="10" w:firstLineChars="0"/>
              <w:jc w:val="both"/>
              <w:textAlignment w:val="center"/>
              <w:rPr>
                <w:rFonts w:hint="eastAsia"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大楼信息化系统进线、标示及信息设备安装等</w:t>
            </w:r>
          </w:p>
        </w:tc>
        <w:tc>
          <w:tcPr>
            <w:tcW w:w="59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ind w:left="118" w:leftChars="0" w:right="697" w:rightChars="0" w:hanging="10" w:firstLineChars="0"/>
              <w:jc w:val="center"/>
              <w:textAlignment w:val="center"/>
              <w:rPr>
                <w:rFonts w:hint="eastAsia"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w:t>
            </w:r>
          </w:p>
        </w:tc>
        <w:tc>
          <w:tcPr>
            <w:tcW w:w="600" w:type="dxa"/>
            <w:tcBorders>
              <w:top w:val="single" w:color="000000" w:sz="4" w:space="0"/>
              <w:left w:val="single" w:color="000000" w:sz="4" w:space="0"/>
              <w:bottom w:val="single" w:color="000000" w:sz="4" w:space="0"/>
              <w:right w:val="single" w:color="000000" w:sz="4" w:space="0"/>
            </w:tcBorders>
            <w:shd w:val="clear" w:color="auto" w:fill="FFFFFF"/>
            <w:vAlign w:val="center"/>
          </w:tcPr>
          <w:p>
            <w:pPr>
              <w:ind w:left="118" w:leftChars="0" w:right="697" w:rightChars="0" w:hanging="10" w:firstLineChars="0"/>
              <w:jc w:val="center"/>
              <w:rPr>
                <w:rFonts w:hint="eastAsia" w:ascii="宋体" w:hAnsi="宋体" w:eastAsia="宋体" w:cs="宋体"/>
                <w:i w:val="0"/>
                <w:iCs w:val="0"/>
                <w:color w:val="000000"/>
                <w:kern w:val="2"/>
                <w:sz w:val="24"/>
                <w:szCs w:val="24"/>
                <w:u w:val="none"/>
                <w:lang w:val="en-US" w:eastAsia="zh-CN" w:bidi="ar-SA"/>
              </w:rPr>
            </w:pPr>
          </w:p>
        </w:tc>
        <w:tc>
          <w:tcPr>
            <w:tcW w:w="622" w:type="dxa"/>
            <w:tcBorders>
              <w:top w:val="single" w:color="000000" w:sz="4" w:space="0"/>
              <w:left w:val="single" w:color="000000" w:sz="4" w:space="0"/>
              <w:bottom w:val="single" w:color="000000" w:sz="4" w:space="0"/>
              <w:right w:val="single" w:color="000000" w:sz="4" w:space="0"/>
            </w:tcBorders>
            <w:shd w:val="clear" w:color="auto" w:fill="FFFFFF"/>
            <w:vAlign w:val="center"/>
          </w:tcPr>
          <w:p>
            <w:pPr>
              <w:ind w:left="118" w:leftChars="0" w:right="697" w:rightChars="0" w:hanging="10" w:firstLineChars="0"/>
              <w:jc w:val="center"/>
              <w:rPr>
                <w:rFonts w:hint="eastAsia" w:ascii="宋体" w:hAnsi="宋体" w:eastAsia="宋体" w:cs="宋体"/>
                <w:i w:val="0"/>
                <w:iCs w:val="0"/>
                <w:color w:val="000000"/>
                <w:kern w:val="2"/>
                <w:sz w:val="24"/>
                <w:szCs w:val="24"/>
                <w:u w:val="none"/>
                <w:lang w:val="en-US" w:eastAsia="zh-CN" w:bidi="ar-SA"/>
              </w:rPr>
            </w:pPr>
          </w:p>
        </w:tc>
        <w:tc>
          <w:tcPr>
            <w:tcW w:w="455" w:type="dxa"/>
            <w:tcBorders>
              <w:top w:val="single" w:color="000000" w:sz="4" w:space="0"/>
              <w:left w:val="single" w:color="000000" w:sz="4" w:space="0"/>
              <w:bottom w:val="single" w:color="000000" w:sz="4" w:space="0"/>
              <w:right w:val="single" w:color="000000" w:sz="4" w:space="0"/>
            </w:tcBorders>
            <w:shd w:val="clear" w:color="auto" w:fill="FFFFFF"/>
            <w:vAlign w:val="center"/>
          </w:tcPr>
          <w:p>
            <w:pPr>
              <w:ind w:left="118" w:leftChars="0" w:right="697" w:rightChars="0" w:hanging="10" w:firstLineChars="0"/>
              <w:jc w:val="center"/>
              <w:rPr>
                <w:rFonts w:hint="eastAsia" w:ascii="宋体" w:hAnsi="宋体" w:eastAsia="宋体" w:cs="宋体"/>
                <w:i w:val="0"/>
                <w:iCs w:val="0"/>
                <w:color w:val="000000"/>
                <w:kern w:val="2"/>
                <w:sz w:val="24"/>
                <w:szCs w:val="24"/>
                <w:u w:val="none"/>
                <w:lang w:val="en-US" w:eastAsia="zh-CN" w:bidi="ar-SA"/>
              </w:rPr>
            </w:pPr>
          </w:p>
        </w:tc>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118" w:leftChars="0" w:right="697" w:rightChars="0" w:hanging="10" w:firstLineChars="0"/>
              <w:jc w:val="center"/>
              <w:textAlignment w:val="center"/>
              <w:rPr>
                <w:rFonts w:hint="eastAsia"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w:t>
            </w:r>
          </w:p>
        </w:tc>
        <w:tc>
          <w:tcPr>
            <w:tcW w:w="583" w:type="dxa"/>
            <w:tcBorders>
              <w:top w:val="single" w:color="000000" w:sz="4" w:space="0"/>
              <w:left w:val="single" w:color="000000" w:sz="4" w:space="0"/>
              <w:bottom w:val="single" w:color="000000" w:sz="4" w:space="0"/>
              <w:right w:val="single" w:color="000000" w:sz="4" w:space="0"/>
            </w:tcBorders>
            <w:shd w:val="clear" w:color="auto" w:fill="FFFFFF"/>
            <w:vAlign w:val="center"/>
          </w:tcPr>
          <w:p>
            <w:pPr>
              <w:ind w:left="118" w:leftChars="0" w:right="697" w:rightChars="0" w:hanging="10" w:firstLineChars="0"/>
              <w:jc w:val="center"/>
              <w:rPr>
                <w:rFonts w:hint="eastAsia" w:ascii="宋体" w:hAnsi="宋体" w:eastAsia="宋体" w:cs="宋体"/>
                <w:i w:val="0"/>
                <w:iCs w:val="0"/>
                <w:color w:val="000000"/>
                <w:kern w:val="2"/>
                <w:sz w:val="24"/>
                <w:szCs w:val="24"/>
                <w:u w:val="none"/>
                <w:lang w:val="en-US" w:eastAsia="zh-CN" w:bidi="ar-SA"/>
              </w:rPr>
            </w:pPr>
          </w:p>
        </w:tc>
        <w:tc>
          <w:tcPr>
            <w:tcW w:w="661" w:type="dxa"/>
            <w:tcBorders>
              <w:top w:val="single" w:color="000000" w:sz="4" w:space="0"/>
              <w:left w:val="single" w:color="000000" w:sz="4" w:space="0"/>
              <w:bottom w:val="single" w:color="000000" w:sz="4" w:space="0"/>
              <w:right w:val="single" w:color="000000" w:sz="8" w:space="0"/>
            </w:tcBorders>
            <w:shd w:val="clear" w:color="auto" w:fill="FFFFFF"/>
            <w:vAlign w:val="center"/>
          </w:tcPr>
          <w:p>
            <w:pPr>
              <w:ind w:left="118" w:leftChars="0" w:right="697" w:rightChars="0" w:hanging="10" w:firstLineChars="0"/>
              <w:jc w:val="center"/>
              <w:rPr>
                <w:rFonts w:hint="eastAsia" w:ascii="宋体" w:hAnsi="宋体" w:eastAsia="宋体" w:cs="宋体"/>
                <w:i w:val="0"/>
                <w:iCs w:val="0"/>
                <w:color w:val="000000"/>
                <w:kern w:val="2"/>
                <w:sz w:val="24"/>
                <w:szCs w:val="24"/>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10700" w:type="dxa"/>
          <w:trHeight w:val="1125" w:hRule="atLeast"/>
        </w:trPr>
        <w:tc>
          <w:tcPr>
            <w:tcW w:w="1958" w:type="dxa"/>
            <w:vMerge w:val="restart"/>
            <w:tcBorders>
              <w:top w:val="single" w:color="000000" w:sz="4" w:space="0"/>
              <w:left w:val="single" w:color="000000" w:sz="8" w:space="0"/>
              <w:bottom w:val="nil"/>
              <w:right w:val="single" w:color="000000" w:sz="4" w:space="0"/>
            </w:tcBorders>
            <w:shd w:val="clear" w:color="auto" w:fill="auto"/>
            <w:vAlign w:val="center"/>
          </w:tcPr>
          <w:p>
            <w:pPr>
              <w:keepNext w:val="0"/>
              <w:keepLines w:val="0"/>
              <w:widowControl/>
              <w:suppressLineNumbers w:val="0"/>
              <w:ind w:right="302"/>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数据中心</w:t>
            </w:r>
          </w:p>
        </w:tc>
        <w:tc>
          <w:tcPr>
            <w:tcW w:w="37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ind w:right="98" w:rightChars="41"/>
              <w:jc w:val="both"/>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装饰装修、静电地板、灯具、防火门、冷通道设备、精密空调系统、UPS配电系统、环境监测系统（含机房安防、报警、门禁等）、机房内综合布线系统、显示设备、操作台、座椅、接地铜排及系统所需线管、线缆、配件。</w:t>
            </w:r>
          </w:p>
        </w:tc>
        <w:tc>
          <w:tcPr>
            <w:tcW w:w="594"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24"/>
                <w:szCs w:val="24"/>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622"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24"/>
                <w:szCs w:val="24"/>
                <w:u w:val="none"/>
              </w:rPr>
            </w:pPr>
          </w:p>
        </w:tc>
        <w:tc>
          <w:tcPr>
            <w:tcW w:w="45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583"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24"/>
                <w:szCs w:val="24"/>
                <w:u w:val="none"/>
              </w:rPr>
            </w:pPr>
          </w:p>
        </w:tc>
        <w:tc>
          <w:tcPr>
            <w:tcW w:w="661" w:type="dxa"/>
            <w:tcBorders>
              <w:top w:val="single" w:color="000000" w:sz="4" w:space="0"/>
              <w:left w:val="single" w:color="000000" w:sz="4" w:space="0"/>
              <w:bottom w:val="single" w:color="000000" w:sz="4" w:space="0"/>
              <w:right w:val="single" w:color="000000" w:sz="8" w:space="0"/>
            </w:tcBorders>
            <w:shd w:val="clear" w:color="auto" w:fill="FFFFFF"/>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10700" w:type="dxa"/>
          <w:trHeight w:val="375" w:hRule="atLeast"/>
        </w:trPr>
        <w:tc>
          <w:tcPr>
            <w:tcW w:w="1958" w:type="dxa"/>
            <w:vMerge w:val="continue"/>
            <w:tcBorders>
              <w:top w:val="single" w:color="000000" w:sz="4" w:space="0"/>
              <w:left w:val="single" w:color="000000" w:sz="8"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37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ind w:right="98" w:rightChars="41"/>
              <w:jc w:val="both"/>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火灾自动报警系统、气体灭火系统、泄压口安装等</w:t>
            </w:r>
          </w:p>
        </w:tc>
        <w:tc>
          <w:tcPr>
            <w:tcW w:w="594"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24"/>
                <w:szCs w:val="24"/>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622"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24"/>
                <w:szCs w:val="24"/>
                <w:u w:val="none"/>
              </w:rPr>
            </w:pPr>
          </w:p>
        </w:tc>
        <w:tc>
          <w:tcPr>
            <w:tcW w:w="45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583"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24"/>
                <w:szCs w:val="24"/>
                <w:u w:val="none"/>
              </w:rPr>
            </w:pPr>
          </w:p>
        </w:tc>
        <w:tc>
          <w:tcPr>
            <w:tcW w:w="661" w:type="dxa"/>
            <w:tcBorders>
              <w:top w:val="single" w:color="000000" w:sz="4" w:space="0"/>
              <w:left w:val="single" w:color="000000" w:sz="4" w:space="0"/>
              <w:bottom w:val="single" w:color="000000" w:sz="4" w:space="0"/>
              <w:right w:val="single" w:color="000000" w:sz="8" w:space="0"/>
            </w:tcBorders>
            <w:shd w:val="clear" w:color="auto" w:fill="FFFFFF"/>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10700" w:type="dxa"/>
          <w:trHeight w:val="375" w:hRule="atLeast"/>
        </w:trPr>
        <w:tc>
          <w:tcPr>
            <w:tcW w:w="1958" w:type="dxa"/>
            <w:vMerge w:val="continue"/>
            <w:tcBorders>
              <w:top w:val="single" w:color="000000" w:sz="4" w:space="0"/>
              <w:left w:val="single" w:color="000000" w:sz="8"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37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ind w:right="98" w:rightChars="41"/>
              <w:jc w:val="both"/>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动力上口配电连接母排</w:t>
            </w:r>
          </w:p>
        </w:tc>
        <w:tc>
          <w:tcPr>
            <w:tcW w:w="594"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24"/>
                <w:szCs w:val="24"/>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622"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24"/>
                <w:szCs w:val="24"/>
                <w:u w:val="none"/>
              </w:rPr>
            </w:pPr>
          </w:p>
        </w:tc>
        <w:tc>
          <w:tcPr>
            <w:tcW w:w="455"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24"/>
                <w:szCs w:val="24"/>
                <w:u w:val="none"/>
              </w:rPr>
            </w:pPr>
          </w:p>
        </w:tc>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583"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24"/>
                <w:szCs w:val="24"/>
                <w:u w:val="none"/>
              </w:rPr>
            </w:pPr>
          </w:p>
        </w:tc>
        <w:tc>
          <w:tcPr>
            <w:tcW w:w="661" w:type="dxa"/>
            <w:tcBorders>
              <w:top w:val="single" w:color="000000" w:sz="4" w:space="0"/>
              <w:left w:val="single" w:color="000000" w:sz="4" w:space="0"/>
              <w:bottom w:val="single" w:color="000000" w:sz="4" w:space="0"/>
              <w:right w:val="single" w:color="000000" w:sz="8" w:space="0"/>
            </w:tcBorders>
            <w:shd w:val="clear" w:color="auto" w:fill="FFFFFF"/>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10700" w:type="dxa"/>
          <w:trHeight w:val="253" w:hRule="atLeast"/>
        </w:trPr>
        <w:tc>
          <w:tcPr>
            <w:tcW w:w="1958" w:type="dxa"/>
            <w:vMerge w:val="continue"/>
            <w:tcBorders>
              <w:top w:val="single" w:color="000000" w:sz="4" w:space="0"/>
              <w:left w:val="single" w:color="000000" w:sz="8"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37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ind w:right="98" w:rightChars="41"/>
              <w:jc w:val="both"/>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下口配电箱/柜</w:t>
            </w:r>
          </w:p>
        </w:tc>
        <w:tc>
          <w:tcPr>
            <w:tcW w:w="594"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24"/>
                <w:szCs w:val="24"/>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622"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24"/>
                <w:szCs w:val="24"/>
                <w:u w:val="none"/>
              </w:rPr>
            </w:pPr>
          </w:p>
        </w:tc>
        <w:tc>
          <w:tcPr>
            <w:tcW w:w="455"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24"/>
                <w:szCs w:val="24"/>
                <w:u w:val="none"/>
              </w:rPr>
            </w:pPr>
          </w:p>
        </w:tc>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583"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24"/>
                <w:szCs w:val="24"/>
                <w:u w:val="none"/>
              </w:rPr>
            </w:pPr>
          </w:p>
        </w:tc>
        <w:tc>
          <w:tcPr>
            <w:tcW w:w="661" w:type="dxa"/>
            <w:tcBorders>
              <w:top w:val="single" w:color="000000" w:sz="4" w:space="0"/>
              <w:left w:val="single" w:color="000000" w:sz="4" w:space="0"/>
              <w:bottom w:val="single" w:color="000000" w:sz="4" w:space="0"/>
              <w:right w:val="single" w:color="000000" w:sz="8" w:space="0"/>
            </w:tcBorders>
            <w:shd w:val="clear" w:color="auto" w:fill="FFFFFF"/>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10700" w:type="dxa"/>
          <w:trHeight w:val="360" w:hRule="atLeast"/>
        </w:trPr>
        <w:tc>
          <w:tcPr>
            <w:tcW w:w="1958" w:type="dxa"/>
            <w:vMerge w:val="continue"/>
            <w:tcBorders>
              <w:top w:val="single" w:color="000000" w:sz="4" w:space="0"/>
              <w:left w:val="single" w:color="000000" w:sz="8"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37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ind w:right="98" w:rightChars="41"/>
              <w:jc w:val="both"/>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精密空调上下水接口</w:t>
            </w:r>
          </w:p>
        </w:tc>
        <w:tc>
          <w:tcPr>
            <w:tcW w:w="594"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24"/>
                <w:szCs w:val="24"/>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622"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24"/>
                <w:szCs w:val="24"/>
                <w:u w:val="none"/>
              </w:rPr>
            </w:pPr>
          </w:p>
        </w:tc>
        <w:tc>
          <w:tcPr>
            <w:tcW w:w="455"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24"/>
                <w:szCs w:val="24"/>
                <w:u w:val="none"/>
              </w:rPr>
            </w:pPr>
          </w:p>
        </w:tc>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583"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24"/>
                <w:szCs w:val="24"/>
                <w:u w:val="none"/>
              </w:rPr>
            </w:pPr>
          </w:p>
        </w:tc>
        <w:tc>
          <w:tcPr>
            <w:tcW w:w="661" w:type="dxa"/>
            <w:tcBorders>
              <w:top w:val="single" w:color="000000" w:sz="4" w:space="0"/>
              <w:left w:val="single" w:color="000000" w:sz="4" w:space="0"/>
              <w:bottom w:val="single" w:color="000000" w:sz="4" w:space="0"/>
              <w:right w:val="single" w:color="000000" w:sz="8" w:space="0"/>
            </w:tcBorders>
            <w:shd w:val="clear" w:color="auto" w:fill="FFFFFF"/>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10700" w:type="dxa"/>
          <w:trHeight w:val="677" w:hRule="atLeast"/>
        </w:trPr>
        <w:tc>
          <w:tcPr>
            <w:tcW w:w="1958" w:type="dxa"/>
            <w:vMerge w:val="continue"/>
            <w:tcBorders>
              <w:top w:val="single" w:color="000000" w:sz="4" w:space="0"/>
              <w:left w:val="single" w:color="000000" w:sz="8"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37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ind w:right="98" w:rightChars="41"/>
              <w:jc w:val="both"/>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精密空调上水管、冷凝水下水管</w:t>
            </w:r>
          </w:p>
        </w:tc>
        <w:tc>
          <w:tcPr>
            <w:tcW w:w="594"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24"/>
                <w:szCs w:val="24"/>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622"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24"/>
                <w:szCs w:val="24"/>
                <w:u w:val="none"/>
              </w:rPr>
            </w:pPr>
          </w:p>
        </w:tc>
        <w:tc>
          <w:tcPr>
            <w:tcW w:w="455"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24"/>
                <w:szCs w:val="24"/>
                <w:u w:val="none"/>
              </w:rPr>
            </w:pPr>
          </w:p>
        </w:tc>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583"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24"/>
                <w:szCs w:val="24"/>
                <w:u w:val="none"/>
              </w:rPr>
            </w:pPr>
          </w:p>
        </w:tc>
        <w:tc>
          <w:tcPr>
            <w:tcW w:w="661" w:type="dxa"/>
            <w:tcBorders>
              <w:top w:val="single" w:color="000000" w:sz="4" w:space="0"/>
              <w:left w:val="single" w:color="000000" w:sz="4" w:space="0"/>
              <w:bottom w:val="single" w:color="000000" w:sz="4" w:space="0"/>
              <w:right w:val="single" w:color="000000" w:sz="8" w:space="0"/>
            </w:tcBorders>
            <w:shd w:val="clear" w:color="auto" w:fill="FFFFFF"/>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10700" w:type="dxa"/>
          <w:trHeight w:val="375" w:hRule="atLeast"/>
        </w:trPr>
        <w:tc>
          <w:tcPr>
            <w:tcW w:w="1958" w:type="dxa"/>
            <w:vMerge w:val="continue"/>
            <w:tcBorders>
              <w:top w:val="single" w:color="000000" w:sz="4" w:space="0"/>
              <w:left w:val="single" w:color="000000" w:sz="8"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37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ind w:right="98" w:rightChars="41"/>
              <w:jc w:val="both"/>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动力环境系统（含机房安防、报警、门禁等）</w:t>
            </w:r>
          </w:p>
        </w:tc>
        <w:tc>
          <w:tcPr>
            <w:tcW w:w="594"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24"/>
                <w:szCs w:val="24"/>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622"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24"/>
                <w:szCs w:val="24"/>
                <w:u w:val="none"/>
              </w:rPr>
            </w:pPr>
          </w:p>
        </w:tc>
        <w:tc>
          <w:tcPr>
            <w:tcW w:w="45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583"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24"/>
                <w:szCs w:val="24"/>
                <w:u w:val="none"/>
              </w:rPr>
            </w:pPr>
          </w:p>
        </w:tc>
        <w:tc>
          <w:tcPr>
            <w:tcW w:w="661" w:type="dxa"/>
            <w:tcBorders>
              <w:top w:val="single" w:color="000000" w:sz="4" w:space="0"/>
              <w:left w:val="single" w:color="000000" w:sz="4" w:space="0"/>
              <w:bottom w:val="single" w:color="000000" w:sz="4" w:space="0"/>
              <w:right w:val="single" w:color="000000" w:sz="8" w:space="0"/>
            </w:tcBorders>
            <w:shd w:val="clear" w:color="auto" w:fill="FFFFFF"/>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10700" w:type="dxa"/>
          <w:trHeight w:val="375" w:hRule="atLeast"/>
        </w:trPr>
        <w:tc>
          <w:tcPr>
            <w:tcW w:w="1958" w:type="dxa"/>
            <w:vMerge w:val="continue"/>
            <w:tcBorders>
              <w:top w:val="single" w:color="000000" w:sz="4" w:space="0"/>
              <w:left w:val="single" w:color="000000" w:sz="8"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3734" w:type="dxa"/>
            <w:tcBorders>
              <w:top w:val="single" w:color="000000" w:sz="4" w:space="0"/>
              <w:left w:val="single" w:color="000000" w:sz="4" w:space="0"/>
              <w:bottom w:val="nil"/>
              <w:right w:val="single" w:color="000000" w:sz="4" w:space="0"/>
            </w:tcBorders>
            <w:shd w:val="clear" w:color="auto" w:fill="FFFFFF"/>
            <w:vAlign w:val="center"/>
          </w:tcPr>
          <w:p>
            <w:pPr>
              <w:keepNext w:val="0"/>
              <w:keepLines w:val="0"/>
              <w:widowControl/>
              <w:suppressLineNumbers w:val="0"/>
              <w:ind w:right="98" w:rightChars="41"/>
              <w:jc w:val="both"/>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信息中心新风</w:t>
            </w:r>
            <w:r>
              <w:rPr>
                <w:rFonts w:hint="eastAsia" w:cs="宋体"/>
                <w:i w:val="0"/>
                <w:iCs w:val="0"/>
                <w:color w:val="000000"/>
                <w:kern w:val="0"/>
                <w:sz w:val="24"/>
                <w:szCs w:val="24"/>
                <w:u w:val="none"/>
                <w:lang w:val="en-US" w:eastAsia="zh-CN" w:bidi="ar"/>
              </w:rPr>
              <w:t>、排风</w:t>
            </w:r>
            <w:r>
              <w:rPr>
                <w:rFonts w:hint="eastAsia" w:ascii="宋体" w:hAnsi="宋体" w:eastAsia="宋体" w:cs="宋体"/>
                <w:i w:val="0"/>
                <w:iCs w:val="0"/>
                <w:color w:val="000000"/>
                <w:kern w:val="0"/>
                <w:sz w:val="24"/>
                <w:szCs w:val="24"/>
                <w:u w:val="none"/>
                <w:lang w:val="en-US" w:eastAsia="zh-CN" w:bidi="ar"/>
              </w:rPr>
              <w:t>系统，含主机、风管、风口、防火阀等</w:t>
            </w:r>
          </w:p>
        </w:tc>
        <w:tc>
          <w:tcPr>
            <w:tcW w:w="594" w:type="dxa"/>
            <w:tcBorders>
              <w:top w:val="single" w:color="000000" w:sz="4" w:space="0"/>
              <w:left w:val="single" w:color="000000" w:sz="4" w:space="0"/>
              <w:bottom w:val="nil"/>
              <w:right w:val="single" w:color="000000" w:sz="4" w:space="0"/>
            </w:tcBorders>
            <w:shd w:val="clear" w:color="auto" w:fill="FFFFFF"/>
            <w:vAlign w:val="center"/>
          </w:tcPr>
          <w:p>
            <w:pPr>
              <w:jc w:val="center"/>
              <w:rPr>
                <w:rFonts w:hint="eastAsia" w:ascii="宋体" w:hAnsi="宋体" w:eastAsia="宋体" w:cs="宋体"/>
                <w:i w:val="0"/>
                <w:iCs w:val="0"/>
                <w:color w:val="000000"/>
                <w:sz w:val="24"/>
                <w:szCs w:val="24"/>
                <w:u w:val="none"/>
              </w:rPr>
            </w:pPr>
          </w:p>
        </w:tc>
        <w:tc>
          <w:tcPr>
            <w:tcW w:w="600" w:type="dxa"/>
            <w:tcBorders>
              <w:top w:val="single" w:color="000000" w:sz="4" w:space="0"/>
              <w:left w:val="single" w:color="000000" w:sz="4" w:space="0"/>
              <w:bottom w:val="nil"/>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622" w:type="dxa"/>
            <w:tcBorders>
              <w:top w:val="single" w:color="000000" w:sz="4" w:space="0"/>
              <w:left w:val="single" w:color="000000" w:sz="4" w:space="0"/>
              <w:bottom w:val="nil"/>
              <w:right w:val="single" w:color="000000" w:sz="4" w:space="0"/>
            </w:tcBorders>
            <w:shd w:val="clear" w:color="auto" w:fill="FFFFFF"/>
            <w:vAlign w:val="center"/>
          </w:tcPr>
          <w:p>
            <w:pPr>
              <w:jc w:val="center"/>
              <w:rPr>
                <w:rFonts w:hint="eastAsia" w:ascii="宋体" w:hAnsi="宋体" w:eastAsia="宋体" w:cs="宋体"/>
                <w:i w:val="0"/>
                <w:iCs w:val="0"/>
                <w:color w:val="000000"/>
                <w:sz w:val="24"/>
                <w:szCs w:val="24"/>
                <w:u w:val="none"/>
              </w:rPr>
            </w:pPr>
          </w:p>
        </w:tc>
        <w:tc>
          <w:tcPr>
            <w:tcW w:w="455" w:type="dxa"/>
            <w:tcBorders>
              <w:top w:val="single" w:color="000000" w:sz="4" w:space="0"/>
              <w:left w:val="single" w:color="000000" w:sz="4" w:space="0"/>
              <w:bottom w:val="nil"/>
              <w:right w:val="single" w:color="000000" w:sz="4" w:space="0"/>
            </w:tcBorders>
            <w:shd w:val="clear" w:color="auto" w:fill="FFFFFF"/>
            <w:vAlign w:val="center"/>
          </w:tcPr>
          <w:p>
            <w:pPr>
              <w:jc w:val="center"/>
              <w:rPr>
                <w:rFonts w:hint="eastAsia" w:ascii="宋体" w:hAnsi="宋体" w:eastAsia="宋体" w:cs="宋体"/>
                <w:i w:val="0"/>
                <w:iCs w:val="0"/>
                <w:color w:val="000000"/>
                <w:sz w:val="24"/>
                <w:szCs w:val="24"/>
                <w:u w:val="none"/>
              </w:rPr>
            </w:pPr>
          </w:p>
        </w:tc>
        <w:tc>
          <w:tcPr>
            <w:tcW w:w="689"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583" w:type="dxa"/>
            <w:tcBorders>
              <w:top w:val="single" w:color="000000" w:sz="4" w:space="0"/>
              <w:left w:val="single" w:color="000000" w:sz="4" w:space="0"/>
              <w:bottom w:val="nil"/>
              <w:right w:val="single" w:color="000000" w:sz="4" w:space="0"/>
            </w:tcBorders>
            <w:shd w:val="clear" w:color="auto" w:fill="FFFFFF"/>
            <w:vAlign w:val="center"/>
          </w:tcPr>
          <w:p>
            <w:pPr>
              <w:jc w:val="center"/>
              <w:rPr>
                <w:rFonts w:hint="eastAsia" w:ascii="宋体" w:hAnsi="宋体" w:eastAsia="宋体" w:cs="宋体"/>
                <w:i w:val="0"/>
                <w:iCs w:val="0"/>
                <w:color w:val="000000"/>
                <w:sz w:val="24"/>
                <w:szCs w:val="24"/>
                <w:u w:val="none"/>
              </w:rPr>
            </w:pPr>
          </w:p>
        </w:tc>
        <w:tc>
          <w:tcPr>
            <w:tcW w:w="661" w:type="dxa"/>
            <w:tcBorders>
              <w:top w:val="single" w:color="000000" w:sz="4" w:space="0"/>
              <w:left w:val="single" w:color="000000" w:sz="4" w:space="0"/>
              <w:bottom w:val="nil"/>
              <w:right w:val="single" w:color="000000" w:sz="8" w:space="0"/>
            </w:tcBorders>
            <w:shd w:val="clear" w:color="auto" w:fill="FFFFFF"/>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10700" w:type="dxa"/>
          <w:trHeight w:val="750" w:hRule="atLeast"/>
        </w:trPr>
        <w:tc>
          <w:tcPr>
            <w:tcW w:w="1958" w:type="dxa"/>
            <w:vMerge w:val="continue"/>
            <w:tcBorders>
              <w:top w:val="single" w:color="000000" w:sz="4" w:space="0"/>
              <w:left w:val="single" w:color="000000" w:sz="8"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3734" w:type="dxa"/>
            <w:tcBorders>
              <w:top w:val="single" w:color="000000" w:sz="4" w:space="0"/>
              <w:left w:val="single" w:color="000000" w:sz="4" w:space="0"/>
              <w:bottom w:val="nil"/>
              <w:right w:val="single" w:color="000000" w:sz="4" w:space="0"/>
            </w:tcBorders>
            <w:shd w:val="clear" w:color="auto" w:fill="FFFFFF"/>
            <w:vAlign w:val="center"/>
          </w:tcPr>
          <w:p>
            <w:pPr>
              <w:keepNext w:val="0"/>
              <w:keepLines w:val="0"/>
              <w:widowControl/>
              <w:suppressLineNumbers w:val="0"/>
              <w:ind w:right="98" w:rightChars="41"/>
              <w:jc w:val="both"/>
              <w:textAlignment w:val="center"/>
              <w:rPr>
                <w:rFonts w:hint="eastAsia" w:ascii="宋体" w:hAnsi="宋体" w:eastAsia="宋体" w:cs="宋体"/>
                <w:i w:val="0"/>
                <w:iCs w:val="0"/>
                <w:color w:val="000000"/>
                <w:sz w:val="24"/>
                <w:szCs w:val="24"/>
                <w:u w:val="none"/>
              </w:rPr>
            </w:pPr>
            <w:r>
              <w:rPr>
                <w:rFonts w:hint="eastAsia" w:cs="宋体"/>
                <w:i w:val="0"/>
                <w:iCs w:val="0"/>
                <w:color w:val="000000"/>
                <w:kern w:val="0"/>
                <w:sz w:val="24"/>
                <w:szCs w:val="24"/>
                <w:u w:val="none"/>
                <w:lang w:val="en-US" w:eastAsia="zh-CN" w:bidi="ar"/>
              </w:rPr>
              <w:t>UPS电池室</w:t>
            </w:r>
            <w:r>
              <w:rPr>
                <w:rFonts w:hint="eastAsia" w:ascii="宋体" w:hAnsi="宋体" w:eastAsia="宋体" w:cs="宋体"/>
                <w:i w:val="0"/>
                <w:iCs w:val="0"/>
                <w:color w:val="000000"/>
                <w:kern w:val="0"/>
                <w:sz w:val="24"/>
                <w:szCs w:val="24"/>
                <w:u w:val="none"/>
                <w:lang w:val="en-US" w:eastAsia="zh-CN" w:bidi="ar"/>
              </w:rPr>
              <w:t>灾后清空系统（8-12次），含主机、风管、垂直风口、防火阀等</w:t>
            </w:r>
          </w:p>
        </w:tc>
        <w:tc>
          <w:tcPr>
            <w:tcW w:w="594" w:type="dxa"/>
            <w:tcBorders>
              <w:top w:val="single" w:color="000000" w:sz="4" w:space="0"/>
              <w:left w:val="single" w:color="000000" w:sz="4" w:space="0"/>
              <w:bottom w:val="nil"/>
              <w:right w:val="single" w:color="000000" w:sz="4" w:space="0"/>
            </w:tcBorders>
            <w:shd w:val="clear" w:color="auto" w:fill="FFFFFF"/>
            <w:vAlign w:val="center"/>
          </w:tcPr>
          <w:p>
            <w:pPr>
              <w:jc w:val="center"/>
              <w:rPr>
                <w:rFonts w:hint="eastAsia" w:ascii="宋体" w:hAnsi="宋体" w:eastAsia="宋体" w:cs="宋体"/>
                <w:i w:val="0"/>
                <w:iCs w:val="0"/>
                <w:color w:val="000000"/>
                <w:sz w:val="24"/>
                <w:szCs w:val="24"/>
                <w:u w:val="none"/>
              </w:rPr>
            </w:pPr>
          </w:p>
        </w:tc>
        <w:tc>
          <w:tcPr>
            <w:tcW w:w="600" w:type="dxa"/>
            <w:tcBorders>
              <w:top w:val="single" w:color="000000" w:sz="4" w:space="0"/>
              <w:left w:val="single" w:color="000000" w:sz="4" w:space="0"/>
              <w:bottom w:val="nil"/>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622" w:type="dxa"/>
            <w:tcBorders>
              <w:top w:val="single" w:color="000000" w:sz="4" w:space="0"/>
              <w:left w:val="single" w:color="000000" w:sz="4" w:space="0"/>
              <w:bottom w:val="nil"/>
              <w:right w:val="single" w:color="000000" w:sz="4" w:space="0"/>
            </w:tcBorders>
            <w:shd w:val="clear" w:color="auto" w:fill="FFFFFF"/>
            <w:vAlign w:val="center"/>
          </w:tcPr>
          <w:p>
            <w:pPr>
              <w:jc w:val="center"/>
              <w:rPr>
                <w:rFonts w:hint="eastAsia" w:ascii="宋体" w:hAnsi="宋体" w:eastAsia="宋体" w:cs="宋体"/>
                <w:i w:val="0"/>
                <w:iCs w:val="0"/>
                <w:color w:val="000000"/>
                <w:sz w:val="24"/>
                <w:szCs w:val="24"/>
                <w:u w:val="none"/>
              </w:rPr>
            </w:pPr>
          </w:p>
        </w:tc>
        <w:tc>
          <w:tcPr>
            <w:tcW w:w="455" w:type="dxa"/>
            <w:tcBorders>
              <w:top w:val="single" w:color="000000" w:sz="4" w:space="0"/>
              <w:left w:val="single" w:color="000000" w:sz="4" w:space="0"/>
              <w:bottom w:val="nil"/>
              <w:right w:val="single" w:color="000000" w:sz="4" w:space="0"/>
            </w:tcBorders>
            <w:shd w:val="clear" w:color="auto" w:fill="FFFFFF"/>
            <w:vAlign w:val="center"/>
          </w:tcPr>
          <w:p>
            <w:pPr>
              <w:jc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689"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583" w:type="dxa"/>
            <w:tcBorders>
              <w:top w:val="single" w:color="000000" w:sz="4" w:space="0"/>
              <w:left w:val="single" w:color="000000" w:sz="4" w:space="0"/>
              <w:bottom w:val="nil"/>
              <w:right w:val="single" w:color="000000" w:sz="4" w:space="0"/>
            </w:tcBorders>
            <w:shd w:val="clear" w:color="auto" w:fill="FFFFFF"/>
            <w:vAlign w:val="center"/>
          </w:tcPr>
          <w:p>
            <w:pPr>
              <w:jc w:val="center"/>
              <w:rPr>
                <w:rFonts w:hint="eastAsia" w:ascii="宋体" w:hAnsi="宋体" w:eastAsia="宋体" w:cs="宋体"/>
                <w:i w:val="0"/>
                <w:iCs w:val="0"/>
                <w:color w:val="000000"/>
                <w:sz w:val="24"/>
                <w:szCs w:val="24"/>
                <w:u w:val="none"/>
              </w:rPr>
            </w:pPr>
          </w:p>
        </w:tc>
        <w:tc>
          <w:tcPr>
            <w:tcW w:w="661" w:type="dxa"/>
            <w:tcBorders>
              <w:top w:val="single" w:color="000000" w:sz="4" w:space="0"/>
              <w:left w:val="single" w:color="000000" w:sz="4" w:space="0"/>
              <w:bottom w:val="nil"/>
              <w:right w:val="single" w:color="000000" w:sz="8" w:space="0"/>
            </w:tcBorders>
            <w:shd w:val="clear" w:color="auto" w:fill="FFFFFF"/>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10700" w:type="dxa"/>
          <w:trHeight w:val="350" w:hRule="atLeast"/>
        </w:trPr>
        <w:tc>
          <w:tcPr>
            <w:tcW w:w="1958" w:type="dxa"/>
            <w:vMerge w:val="continue"/>
            <w:tcBorders>
              <w:top w:val="single" w:color="000000" w:sz="4" w:space="0"/>
              <w:left w:val="single" w:color="000000" w:sz="8"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3734" w:type="dxa"/>
            <w:tcBorders>
              <w:top w:val="single" w:color="000000" w:sz="4" w:space="0"/>
              <w:left w:val="single" w:color="000000" w:sz="4" w:space="0"/>
              <w:bottom w:val="nil"/>
              <w:right w:val="single" w:color="000000" w:sz="4" w:space="0"/>
            </w:tcBorders>
            <w:shd w:val="clear" w:color="auto" w:fill="FFFFFF"/>
            <w:vAlign w:val="center"/>
          </w:tcPr>
          <w:p>
            <w:pPr>
              <w:keepNext w:val="0"/>
              <w:keepLines w:val="0"/>
              <w:widowControl/>
              <w:suppressLineNumbers w:val="0"/>
              <w:ind w:right="98" w:rightChars="41"/>
              <w:jc w:val="both"/>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运营商进线</w:t>
            </w:r>
          </w:p>
        </w:tc>
        <w:tc>
          <w:tcPr>
            <w:tcW w:w="594" w:type="dxa"/>
            <w:tcBorders>
              <w:top w:val="single" w:color="000000" w:sz="4" w:space="0"/>
              <w:left w:val="single" w:color="000000" w:sz="4" w:space="0"/>
              <w:bottom w:val="nil"/>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600" w:type="dxa"/>
            <w:tcBorders>
              <w:top w:val="single" w:color="000000" w:sz="4" w:space="0"/>
              <w:left w:val="single" w:color="000000" w:sz="4" w:space="0"/>
              <w:bottom w:val="nil"/>
              <w:right w:val="single" w:color="000000" w:sz="4" w:space="0"/>
            </w:tcBorders>
            <w:shd w:val="clear" w:color="auto" w:fill="FFFFFF"/>
            <w:vAlign w:val="center"/>
          </w:tcPr>
          <w:p>
            <w:pPr>
              <w:jc w:val="center"/>
              <w:rPr>
                <w:rFonts w:hint="eastAsia" w:ascii="宋体" w:hAnsi="宋体" w:eastAsia="宋体" w:cs="宋体"/>
                <w:i w:val="0"/>
                <w:iCs w:val="0"/>
                <w:color w:val="000000"/>
                <w:sz w:val="24"/>
                <w:szCs w:val="24"/>
                <w:u w:val="none"/>
              </w:rPr>
            </w:pPr>
          </w:p>
        </w:tc>
        <w:tc>
          <w:tcPr>
            <w:tcW w:w="622" w:type="dxa"/>
            <w:tcBorders>
              <w:top w:val="single" w:color="000000" w:sz="4" w:space="0"/>
              <w:left w:val="single" w:color="000000" w:sz="4" w:space="0"/>
              <w:bottom w:val="nil"/>
              <w:right w:val="single" w:color="000000" w:sz="4" w:space="0"/>
            </w:tcBorders>
            <w:shd w:val="clear" w:color="auto" w:fill="FFFFFF"/>
            <w:vAlign w:val="center"/>
          </w:tcPr>
          <w:p>
            <w:pPr>
              <w:jc w:val="center"/>
              <w:rPr>
                <w:rFonts w:hint="eastAsia" w:ascii="宋体" w:hAnsi="宋体" w:eastAsia="宋体" w:cs="宋体"/>
                <w:i w:val="0"/>
                <w:iCs w:val="0"/>
                <w:color w:val="000000"/>
                <w:sz w:val="24"/>
                <w:szCs w:val="24"/>
                <w:u w:val="none"/>
              </w:rPr>
            </w:pPr>
          </w:p>
        </w:tc>
        <w:tc>
          <w:tcPr>
            <w:tcW w:w="455" w:type="dxa"/>
            <w:tcBorders>
              <w:top w:val="single" w:color="000000" w:sz="4" w:space="0"/>
              <w:left w:val="single" w:color="000000" w:sz="4" w:space="0"/>
              <w:bottom w:val="nil"/>
              <w:right w:val="single" w:color="000000" w:sz="4" w:space="0"/>
            </w:tcBorders>
            <w:shd w:val="clear" w:color="auto" w:fill="FFFFFF"/>
            <w:vAlign w:val="center"/>
          </w:tcPr>
          <w:p>
            <w:pPr>
              <w:jc w:val="center"/>
              <w:rPr>
                <w:rFonts w:hint="eastAsia" w:ascii="宋体" w:hAnsi="宋体" w:eastAsia="宋体" w:cs="宋体"/>
                <w:i w:val="0"/>
                <w:iCs w:val="0"/>
                <w:color w:val="000000"/>
                <w:sz w:val="24"/>
                <w:szCs w:val="24"/>
                <w:u w:val="none"/>
              </w:rPr>
            </w:pPr>
          </w:p>
        </w:tc>
        <w:tc>
          <w:tcPr>
            <w:tcW w:w="689"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583" w:type="dxa"/>
            <w:tcBorders>
              <w:top w:val="single" w:color="000000" w:sz="4" w:space="0"/>
              <w:left w:val="single" w:color="000000" w:sz="4" w:space="0"/>
              <w:bottom w:val="nil"/>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661" w:type="dxa"/>
            <w:tcBorders>
              <w:top w:val="single" w:color="000000" w:sz="4" w:space="0"/>
              <w:left w:val="single" w:color="000000" w:sz="4" w:space="0"/>
              <w:bottom w:val="nil"/>
              <w:right w:val="single" w:color="000000" w:sz="8" w:space="0"/>
            </w:tcBorders>
            <w:shd w:val="clear" w:color="auto" w:fill="FFFFFF"/>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10700" w:type="dxa"/>
          <w:trHeight w:val="602" w:hRule="atLeast"/>
        </w:trPr>
        <w:tc>
          <w:tcPr>
            <w:tcW w:w="1958" w:type="dxa"/>
            <w:vMerge w:val="continue"/>
            <w:tcBorders>
              <w:top w:val="single" w:color="000000" w:sz="4" w:space="0"/>
              <w:left w:val="single" w:color="000000" w:sz="8"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3734" w:type="dxa"/>
            <w:tcBorders>
              <w:top w:val="single" w:color="000000" w:sz="4" w:space="0"/>
              <w:left w:val="single" w:color="000000" w:sz="4" w:space="0"/>
              <w:bottom w:val="nil"/>
              <w:right w:val="single" w:color="000000" w:sz="4" w:space="0"/>
            </w:tcBorders>
            <w:shd w:val="clear" w:color="auto" w:fill="FFFFFF"/>
            <w:vAlign w:val="center"/>
          </w:tcPr>
          <w:p>
            <w:pPr>
              <w:keepNext w:val="0"/>
              <w:keepLines w:val="0"/>
              <w:widowControl/>
              <w:suppressLineNumbers w:val="0"/>
              <w:ind w:right="98" w:rightChars="41"/>
              <w:jc w:val="both"/>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大楼信息化系统进线、标示及信息设备安装等</w:t>
            </w:r>
          </w:p>
        </w:tc>
        <w:tc>
          <w:tcPr>
            <w:tcW w:w="594" w:type="dxa"/>
            <w:tcBorders>
              <w:top w:val="single" w:color="000000" w:sz="4" w:space="0"/>
              <w:left w:val="single" w:color="000000" w:sz="4" w:space="0"/>
              <w:bottom w:val="nil"/>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600" w:type="dxa"/>
            <w:tcBorders>
              <w:top w:val="single" w:color="000000" w:sz="4" w:space="0"/>
              <w:left w:val="single" w:color="000000" w:sz="4" w:space="0"/>
              <w:bottom w:val="nil"/>
              <w:right w:val="single" w:color="000000" w:sz="4" w:space="0"/>
            </w:tcBorders>
            <w:shd w:val="clear" w:color="auto" w:fill="FFFFFF"/>
            <w:vAlign w:val="center"/>
          </w:tcPr>
          <w:p>
            <w:pPr>
              <w:jc w:val="center"/>
              <w:rPr>
                <w:rFonts w:hint="eastAsia" w:ascii="宋体" w:hAnsi="宋体" w:eastAsia="宋体" w:cs="宋体"/>
                <w:i w:val="0"/>
                <w:iCs w:val="0"/>
                <w:color w:val="000000"/>
                <w:sz w:val="24"/>
                <w:szCs w:val="24"/>
                <w:u w:val="none"/>
              </w:rPr>
            </w:pPr>
          </w:p>
        </w:tc>
        <w:tc>
          <w:tcPr>
            <w:tcW w:w="622" w:type="dxa"/>
            <w:tcBorders>
              <w:top w:val="single" w:color="000000" w:sz="4" w:space="0"/>
              <w:left w:val="single" w:color="000000" w:sz="4" w:space="0"/>
              <w:bottom w:val="nil"/>
              <w:right w:val="single" w:color="000000" w:sz="4" w:space="0"/>
            </w:tcBorders>
            <w:shd w:val="clear" w:color="auto" w:fill="FFFFFF"/>
            <w:vAlign w:val="center"/>
          </w:tcPr>
          <w:p>
            <w:pPr>
              <w:jc w:val="center"/>
              <w:rPr>
                <w:rFonts w:hint="eastAsia" w:ascii="宋体" w:hAnsi="宋体" w:eastAsia="宋体" w:cs="宋体"/>
                <w:i w:val="0"/>
                <w:iCs w:val="0"/>
                <w:color w:val="000000"/>
                <w:sz w:val="24"/>
                <w:szCs w:val="24"/>
                <w:u w:val="none"/>
              </w:rPr>
            </w:pPr>
          </w:p>
        </w:tc>
        <w:tc>
          <w:tcPr>
            <w:tcW w:w="455" w:type="dxa"/>
            <w:tcBorders>
              <w:top w:val="single" w:color="000000" w:sz="4" w:space="0"/>
              <w:left w:val="single" w:color="000000" w:sz="4" w:space="0"/>
              <w:bottom w:val="nil"/>
              <w:right w:val="single" w:color="000000" w:sz="4" w:space="0"/>
            </w:tcBorders>
            <w:shd w:val="clear" w:color="auto" w:fill="FFFFFF"/>
            <w:vAlign w:val="center"/>
          </w:tcPr>
          <w:p>
            <w:pPr>
              <w:jc w:val="center"/>
              <w:rPr>
                <w:rFonts w:hint="eastAsia" w:ascii="宋体" w:hAnsi="宋体" w:eastAsia="宋体" w:cs="宋体"/>
                <w:i w:val="0"/>
                <w:iCs w:val="0"/>
                <w:color w:val="000000"/>
                <w:sz w:val="24"/>
                <w:szCs w:val="24"/>
                <w:u w:val="none"/>
              </w:rPr>
            </w:pPr>
          </w:p>
        </w:tc>
        <w:tc>
          <w:tcPr>
            <w:tcW w:w="689"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583" w:type="dxa"/>
            <w:tcBorders>
              <w:top w:val="single" w:color="000000" w:sz="4" w:space="0"/>
              <w:left w:val="single" w:color="000000" w:sz="4" w:space="0"/>
              <w:bottom w:val="nil"/>
              <w:right w:val="single" w:color="000000" w:sz="4" w:space="0"/>
            </w:tcBorders>
            <w:shd w:val="clear" w:color="auto" w:fill="FFFFFF"/>
            <w:vAlign w:val="center"/>
          </w:tcPr>
          <w:p>
            <w:pPr>
              <w:jc w:val="center"/>
              <w:rPr>
                <w:rFonts w:hint="eastAsia" w:ascii="宋体" w:hAnsi="宋体" w:eastAsia="宋体" w:cs="宋体"/>
                <w:i w:val="0"/>
                <w:iCs w:val="0"/>
                <w:color w:val="000000"/>
                <w:sz w:val="24"/>
                <w:szCs w:val="24"/>
                <w:u w:val="none"/>
              </w:rPr>
            </w:pPr>
          </w:p>
        </w:tc>
        <w:tc>
          <w:tcPr>
            <w:tcW w:w="661" w:type="dxa"/>
            <w:tcBorders>
              <w:top w:val="single" w:color="000000" w:sz="4" w:space="0"/>
              <w:left w:val="single" w:color="000000" w:sz="4" w:space="0"/>
              <w:bottom w:val="nil"/>
              <w:right w:val="single" w:color="000000" w:sz="8" w:space="0"/>
            </w:tcBorders>
            <w:shd w:val="clear" w:color="auto" w:fill="FFFFFF"/>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0" w:hRule="atLeast"/>
        </w:trPr>
        <w:tc>
          <w:tcPr>
            <w:tcW w:w="20596" w:type="dxa"/>
            <w:gridSpan w:val="10"/>
            <w:tcBorders>
              <w:top w:val="single" w:color="000000" w:sz="4" w:space="0"/>
              <w:left w:val="single" w:color="000000" w:sz="8" w:space="0"/>
              <w:bottom w:val="single" w:color="000000" w:sz="8" w:space="0"/>
              <w:right w:val="single" w:color="000000" w:sz="4" w:space="0"/>
            </w:tcBorders>
            <w:shd w:val="clear" w:color="auto" w:fill="auto"/>
            <w:noWrap/>
            <w:vAlign w:val="center"/>
          </w:tcPr>
          <w:p>
            <w:pPr>
              <w:keepNext w:val="0"/>
              <w:keepLines w:val="0"/>
              <w:widowControl/>
              <w:suppressLineNumbers w:val="0"/>
              <w:ind w:right="98" w:rightChars="41"/>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注：√代表主建单位，*代表配合单位</w:t>
            </w:r>
          </w:p>
        </w:tc>
      </w:tr>
    </w:tbl>
    <w:p>
      <w:pPr>
        <w:spacing w:after="50" w:line="259" w:lineRule="auto"/>
        <w:ind w:firstLine="480" w:firstLineChars="200"/>
        <w:rPr>
          <w:rFonts w:hint="eastAsia" w:ascii="宋体" w:hAnsi="宋体" w:eastAsia="宋体" w:cs="宋体"/>
          <w:color w:val="auto"/>
          <w:highlight w:val="none"/>
        </w:rPr>
      </w:pPr>
      <w:r>
        <w:rPr>
          <w:rFonts w:hint="eastAsia" w:ascii="宋体" w:hAnsi="宋体" w:eastAsia="宋体" w:cs="宋体"/>
          <w:color w:val="auto"/>
          <w:highlight w:val="none"/>
        </w:rPr>
        <w:t>2.</w:t>
      </w:r>
      <w:r>
        <w:rPr>
          <w:rFonts w:hint="eastAsia" w:ascii="宋体" w:hAnsi="宋体" w:eastAsia="宋体" w:cs="宋体"/>
          <w:color w:val="auto"/>
          <w:highlight w:val="none"/>
          <w:lang w:val="en-US" w:eastAsia="zh-CN"/>
        </w:rPr>
        <w:t>3</w:t>
      </w:r>
      <w:r>
        <w:rPr>
          <w:rFonts w:hint="eastAsia" w:ascii="宋体" w:hAnsi="宋体" w:eastAsia="宋体" w:cs="宋体"/>
          <w:color w:val="auto"/>
          <w:highlight w:val="none"/>
        </w:rPr>
        <w:t>.</w:t>
      </w:r>
      <w:r>
        <w:rPr>
          <w:rFonts w:hint="eastAsia" w:cs="宋体"/>
          <w:color w:val="auto"/>
          <w:highlight w:val="none"/>
          <w:lang w:val="en-US" w:eastAsia="zh-CN"/>
        </w:rPr>
        <w:t>3</w:t>
      </w:r>
      <w:r>
        <w:rPr>
          <w:rFonts w:hint="eastAsia" w:ascii="宋体" w:hAnsi="宋体" w:eastAsia="宋体" w:cs="宋体"/>
          <w:color w:val="auto"/>
          <w:highlight w:val="none"/>
        </w:rPr>
        <w:t xml:space="preserve"> </w:t>
      </w:r>
      <w:r>
        <w:rPr>
          <w:rFonts w:hint="eastAsia" w:ascii="宋体" w:hAnsi="宋体" w:eastAsia="宋体" w:cs="宋体"/>
          <w:color w:val="auto"/>
          <w:highlight w:val="none"/>
        </w:rPr>
        <w:tab/>
      </w:r>
      <w:r>
        <w:rPr>
          <w:rFonts w:hint="eastAsia" w:ascii="宋体" w:hAnsi="宋体" w:eastAsia="宋体" w:cs="宋体"/>
          <w:color w:val="auto"/>
          <w:highlight w:val="none"/>
        </w:rPr>
        <w:t>运营商的界面</w:t>
      </w:r>
    </w:p>
    <w:p>
      <w:pPr>
        <w:spacing w:after="50" w:line="259" w:lineRule="auto"/>
        <w:ind w:left="1560" w:firstLine="0"/>
        <w:rPr>
          <w:rFonts w:hint="eastAsia" w:ascii="宋体" w:hAnsi="宋体" w:eastAsia="宋体" w:cs="宋体"/>
          <w:highlight w:val="none"/>
        </w:rPr>
      </w:pPr>
      <w:r>
        <w:rPr>
          <w:rFonts w:hint="eastAsia" w:ascii="宋体" w:hAnsi="宋体" w:eastAsia="宋体" w:cs="宋体"/>
          <w:highlight w:val="none"/>
        </w:rPr>
        <w:t>电信接入机房由土建单位负责建设和预留，配电由强电专业单位负责。各电信运营商的外线引入、配线架安装、设备安装调试、外线防雷等由各运营商负责。各运营商机房连接到综合布线总机柜的管、线、槽由运营商负责，智能化单位预留机柜的相关接入空间及点位。</w:t>
      </w:r>
    </w:p>
    <w:p>
      <w:pPr>
        <w:pStyle w:val="2"/>
        <w:spacing w:after="321"/>
        <w:ind w:left="1670" w:right="8" w:hanging="1080"/>
        <w:rPr>
          <w:rFonts w:hint="eastAsia" w:ascii="宋体" w:hAnsi="宋体" w:eastAsia="宋体" w:cs="宋体"/>
          <w:b/>
          <w:bCs/>
          <w:highlight w:val="none"/>
        </w:rPr>
      </w:pPr>
      <w:bookmarkStart w:id="2" w:name="_Toc12536"/>
      <w:r>
        <w:rPr>
          <w:rFonts w:hint="eastAsia" w:ascii="宋体" w:hAnsi="宋体" w:eastAsia="宋体" w:cs="宋体"/>
          <w:b/>
          <w:bCs/>
          <w:highlight w:val="none"/>
        </w:rPr>
        <w:t>特别要求</w:t>
      </w:r>
      <w:bookmarkEnd w:id="2"/>
      <w:r>
        <w:rPr>
          <w:rFonts w:hint="eastAsia" w:ascii="宋体" w:hAnsi="宋体" w:eastAsia="宋体" w:cs="宋体"/>
          <w:b/>
          <w:bCs/>
          <w:highlight w:val="none"/>
        </w:rPr>
        <w:t xml:space="preserve"> </w:t>
      </w:r>
    </w:p>
    <w:p>
      <w:pPr>
        <w:ind w:left="1670" w:right="8" w:hanging="1080"/>
        <w:rPr>
          <w:rFonts w:hint="eastAsia" w:ascii="宋体" w:hAnsi="宋体" w:eastAsia="宋体" w:cs="宋体"/>
          <w:highlight w:val="none"/>
        </w:rPr>
      </w:pPr>
      <w:r>
        <w:rPr>
          <w:rFonts w:hint="eastAsia" w:ascii="宋体" w:hAnsi="宋体" w:eastAsia="宋体" w:cs="宋体"/>
          <w:highlight w:val="none"/>
        </w:rPr>
        <w:t xml:space="preserve">3.1 </w:t>
      </w:r>
      <w:r>
        <w:rPr>
          <w:rFonts w:hint="eastAsia" w:ascii="宋体" w:hAnsi="宋体" w:eastAsia="宋体" w:cs="宋体"/>
          <w:highlight w:val="none"/>
        </w:rPr>
        <w:tab/>
      </w:r>
      <w:r>
        <w:rPr>
          <w:rFonts w:hint="eastAsia" w:ascii="宋体" w:hAnsi="宋体" w:eastAsia="宋体" w:cs="宋体"/>
          <w:highlight w:val="none"/>
        </w:rPr>
        <w:tab/>
      </w:r>
      <w:r>
        <w:rPr>
          <w:rFonts w:hint="eastAsia" w:ascii="宋体" w:hAnsi="宋体" w:eastAsia="宋体" w:cs="宋体"/>
          <w:highlight w:val="none"/>
        </w:rPr>
        <w:t xml:space="preserve">承包单位在回标前，必须到工地及查阅所有现存记录图纸及文件，承包单位必须完全明白理解工地现场情况、工程范围、施工程度要求等并把所需费用包括在标价内。 </w:t>
      </w:r>
    </w:p>
    <w:p>
      <w:pPr>
        <w:ind w:left="1670" w:right="8" w:hanging="1080"/>
        <w:rPr>
          <w:rFonts w:hint="eastAsia" w:ascii="宋体" w:hAnsi="宋体" w:eastAsia="宋体" w:cs="宋体"/>
          <w:highlight w:val="none"/>
        </w:rPr>
      </w:pPr>
      <w:r>
        <w:rPr>
          <w:rFonts w:hint="eastAsia" w:ascii="宋体" w:hAnsi="宋体" w:eastAsia="宋体" w:cs="宋体"/>
          <w:highlight w:val="none"/>
        </w:rPr>
        <w:t xml:space="preserve">3.2 </w:t>
      </w:r>
      <w:r>
        <w:rPr>
          <w:rFonts w:hint="eastAsia" w:ascii="宋体" w:hAnsi="宋体" w:eastAsia="宋体" w:cs="宋体"/>
          <w:highlight w:val="none"/>
        </w:rPr>
        <w:tab/>
      </w:r>
      <w:r>
        <w:rPr>
          <w:rFonts w:hint="eastAsia" w:ascii="宋体" w:hAnsi="宋体" w:eastAsia="宋体" w:cs="宋体"/>
          <w:highlight w:val="none"/>
        </w:rPr>
        <w:t xml:space="preserve">承包单位必须深入了解工地情况，所有日后因为承包单位对工地情况欠缺了解而引致的一切后果，一律由承包单位负责。 </w:t>
      </w:r>
    </w:p>
    <w:p>
      <w:pPr>
        <w:spacing w:after="221"/>
        <w:ind w:left="600" w:right="8"/>
        <w:rPr>
          <w:rFonts w:hint="eastAsia" w:ascii="宋体" w:hAnsi="宋体" w:eastAsia="宋体" w:cs="宋体"/>
          <w:highlight w:val="none"/>
        </w:rPr>
      </w:pPr>
      <w:r>
        <w:rPr>
          <w:rFonts w:hint="eastAsia" w:ascii="宋体" w:hAnsi="宋体" w:eastAsia="宋体" w:cs="宋体"/>
          <w:highlight w:val="none"/>
        </w:rPr>
        <w:t xml:space="preserve">3.3 </w:t>
      </w:r>
      <w:r>
        <w:rPr>
          <w:rFonts w:hint="eastAsia" w:ascii="宋体" w:hAnsi="宋体" w:eastAsia="宋体" w:cs="宋体"/>
          <w:highlight w:val="none"/>
        </w:rPr>
        <w:tab/>
      </w:r>
      <w:r>
        <w:rPr>
          <w:rFonts w:hint="eastAsia" w:ascii="宋体" w:hAnsi="宋体" w:eastAsia="宋体" w:cs="宋体"/>
          <w:highlight w:val="none"/>
        </w:rPr>
        <w:tab/>
      </w:r>
      <w:r>
        <w:rPr>
          <w:rFonts w:hint="eastAsia" w:ascii="宋体" w:hAnsi="宋体" w:eastAsia="宋体" w:cs="宋体"/>
          <w:highlight w:val="none"/>
        </w:rPr>
        <w:t xml:space="preserve">承包单位必须在施工 / 完工时正确地覆盖所有导管、线槽管以防止外物进入。 </w:t>
      </w:r>
    </w:p>
    <w:p>
      <w:pPr>
        <w:spacing w:after="0" w:line="259" w:lineRule="auto"/>
        <w:ind w:left="605" w:right="0" w:firstLine="0"/>
        <w:rPr>
          <w:rFonts w:hint="eastAsia" w:ascii="宋体" w:hAnsi="宋体" w:eastAsia="宋体" w:cs="宋体"/>
          <w:highlight w:val="none"/>
        </w:rPr>
      </w:pPr>
      <w:r>
        <w:rPr>
          <w:rFonts w:hint="eastAsia" w:ascii="宋体" w:hAnsi="宋体" w:eastAsia="宋体" w:cs="宋体"/>
          <w:highlight w:val="none"/>
        </w:rPr>
        <w:t xml:space="preserve"> </w:t>
      </w:r>
      <w:r>
        <w:rPr>
          <w:rFonts w:hint="eastAsia" w:ascii="宋体" w:hAnsi="宋体" w:eastAsia="宋体" w:cs="宋体"/>
          <w:highlight w:val="none"/>
        </w:rPr>
        <w:tab/>
      </w:r>
      <w:r>
        <w:rPr>
          <w:rFonts w:hint="eastAsia" w:ascii="宋体" w:hAnsi="宋体" w:eastAsia="宋体" w:cs="宋体"/>
          <w:highlight w:val="none"/>
        </w:rPr>
        <w:t xml:space="preserve"> </w:t>
      </w:r>
      <w:r>
        <w:rPr>
          <w:rFonts w:hint="eastAsia" w:ascii="宋体" w:hAnsi="宋体" w:eastAsia="宋体" w:cs="宋体"/>
          <w:highlight w:val="none"/>
        </w:rPr>
        <w:br w:type="page"/>
      </w:r>
    </w:p>
    <w:p>
      <w:pPr>
        <w:pStyle w:val="2"/>
        <w:spacing w:after="321"/>
        <w:ind w:left="1670" w:right="8" w:hanging="1080"/>
        <w:rPr>
          <w:rFonts w:hint="eastAsia" w:ascii="宋体" w:hAnsi="宋体" w:eastAsia="宋体" w:cs="宋体"/>
          <w:b/>
          <w:bCs/>
          <w:highlight w:val="none"/>
        </w:rPr>
      </w:pPr>
      <w:bookmarkStart w:id="3" w:name="_Toc24279"/>
      <w:r>
        <w:rPr>
          <w:rFonts w:hint="eastAsia" w:ascii="宋体" w:hAnsi="宋体" w:eastAsia="宋体" w:cs="宋体"/>
          <w:b/>
          <w:bCs/>
          <w:highlight w:val="none"/>
        </w:rPr>
        <w:t>承包单位的设计呈报</w:t>
      </w:r>
      <w:bookmarkEnd w:id="3"/>
      <w:r>
        <w:rPr>
          <w:rFonts w:hint="eastAsia" w:ascii="宋体" w:hAnsi="宋体" w:eastAsia="宋体" w:cs="宋体"/>
          <w:b/>
          <w:bCs/>
          <w:highlight w:val="none"/>
        </w:rPr>
        <w:t xml:space="preserve"> </w:t>
      </w:r>
    </w:p>
    <w:p>
      <w:pPr>
        <w:pStyle w:val="3"/>
        <w:spacing w:after="294"/>
        <w:ind w:left="1670" w:hanging="1080"/>
        <w:rPr>
          <w:rFonts w:hint="eastAsia" w:ascii="宋体" w:hAnsi="宋体" w:eastAsia="宋体" w:cs="宋体"/>
          <w:highlight w:val="none"/>
        </w:rPr>
      </w:pPr>
      <w:r>
        <w:rPr>
          <w:rFonts w:hint="eastAsia" w:ascii="宋体" w:hAnsi="宋体" w:eastAsia="宋体" w:cs="宋体"/>
          <w:highlight w:val="none"/>
        </w:rPr>
        <w:t xml:space="preserve">概述 </w:t>
      </w:r>
    </w:p>
    <w:p>
      <w:pPr>
        <w:spacing w:after="0"/>
        <w:ind w:left="1695" w:right="8"/>
        <w:rPr>
          <w:rFonts w:hint="eastAsia" w:ascii="宋体" w:hAnsi="宋体" w:eastAsia="宋体" w:cs="宋体"/>
          <w:highlight w:val="none"/>
        </w:rPr>
      </w:pPr>
      <w:r>
        <w:rPr>
          <w:rFonts w:hint="eastAsia" w:ascii="宋体" w:hAnsi="宋体" w:eastAsia="宋体" w:cs="宋体"/>
          <w:highlight w:val="none"/>
        </w:rPr>
        <w:t xml:space="preserve">在工程进行的各阶段及随着工作的进度，本承包单位须呈报其设计、建议的装置和设备作审批。承包单位必须确保其所有设计及图纸包括全部所需的资料、建议、文件和资料在准确及合理的时间内呈交给工程师审阅，以确保能获得批准而进行施工。由于图纸、资料、文件和资料需时核对，承包单位须预算足够时间供审核以及需修改错误和再呈交审核之用，如承包单位未能按照所定计划和工程进度提交所需的资料而导致工期拖延，一切之损失及责任须由承包单位负责，有关送审件须以中文说明。 </w:t>
      </w:r>
    </w:p>
    <w:p>
      <w:pPr>
        <w:spacing w:after="0" w:line="259" w:lineRule="auto"/>
        <w:ind w:left="0" w:right="0" w:firstLine="0"/>
        <w:rPr>
          <w:rFonts w:hint="eastAsia" w:ascii="宋体" w:hAnsi="宋体" w:eastAsia="宋体" w:cs="宋体"/>
          <w:highlight w:val="none"/>
        </w:rPr>
      </w:pPr>
      <w:r>
        <w:rPr>
          <w:rFonts w:hint="eastAsia" w:ascii="宋体" w:hAnsi="宋体" w:eastAsia="宋体" w:cs="宋体"/>
          <w:highlight w:val="none"/>
        </w:rPr>
        <w:t xml:space="preserve"> </w:t>
      </w:r>
    </w:p>
    <w:p>
      <w:pPr>
        <w:keepNext w:val="0"/>
        <w:keepLines w:val="0"/>
        <w:pageBreakBefore w:val="0"/>
        <w:widowControl/>
        <w:kinsoku/>
        <w:wordWrap/>
        <w:overflowPunct/>
        <w:topLinePunct w:val="0"/>
        <w:autoSpaceDE/>
        <w:autoSpaceDN/>
        <w:bidi w:val="0"/>
        <w:adjustRightInd/>
        <w:snapToGrid/>
        <w:spacing w:after="0" w:line="252" w:lineRule="auto"/>
        <w:ind w:left="1260" w:right="0" w:firstLine="420"/>
        <w:jc w:val="center"/>
        <w:textAlignment w:val="auto"/>
        <w:rPr>
          <w:rFonts w:hint="eastAsia" w:ascii="宋体" w:hAnsi="宋体" w:eastAsia="宋体" w:cs="宋体"/>
          <w:highlight w:val="none"/>
        </w:rPr>
      </w:pPr>
      <w:r>
        <w:rPr>
          <w:rFonts w:hint="eastAsia" w:ascii="宋体" w:hAnsi="宋体" w:eastAsia="宋体" w:cs="宋体"/>
          <w:highlight w:val="none"/>
        </w:rPr>
        <w:t>承包单位提供不少于以下之深化计算书、设计及机房平面布置图供业主、工程</w:t>
      </w:r>
    </w:p>
    <w:p>
      <w:pPr>
        <w:keepNext w:val="0"/>
        <w:keepLines w:val="0"/>
        <w:pageBreakBefore w:val="0"/>
        <w:widowControl/>
        <w:kinsoku/>
        <w:wordWrap/>
        <w:overflowPunct/>
        <w:topLinePunct w:val="0"/>
        <w:autoSpaceDE/>
        <w:autoSpaceDN/>
        <w:bidi w:val="0"/>
        <w:adjustRightInd/>
        <w:snapToGrid/>
        <w:spacing w:after="0" w:line="252" w:lineRule="auto"/>
        <w:ind w:left="1680" w:right="0" w:firstLine="0"/>
        <w:textAlignment w:val="auto"/>
        <w:rPr>
          <w:rFonts w:hint="eastAsia" w:ascii="宋体" w:hAnsi="宋体" w:eastAsia="宋体" w:cs="宋体"/>
          <w:highlight w:val="none"/>
        </w:rPr>
      </w:pPr>
      <w:r>
        <w:rPr>
          <w:rFonts w:hint="eastAsia" w:ascii="宋体" w:hAnsi="宋体" w:eastAsia="宋体" w:cs="宋体"/>
          <w:highlight w:val="none"/>
        </w:rPr>
        <w:t xml:space="preserve">师、顾问及建设单位批核。计算的标准是基于 IEE, BS，中国国家标准或其它工程师认可的标准手册： </w:t>
      </w:r>
    </w:p>
    <w:p>
      <w:pPr>
        <w:keepNext w:val="0"/>
        <w:keepLines w:val="0"/>
        <w:pageBreakBefore w:val="0"/>
        <w:widowControl/>
        <w:kinsoku/>
        <w:wordWrap/>
        <w:overflowPunct/>
        <w:topLinePunct w:val="0"/>
        <w:autoSpaceDE/>
        <w:autoSpaceDN/>
        <w:bidi w:val="0"/>
        <w:adjustRightInd/>
        <w:snapToGrid/>
        <w:spacing w:after="0" w:line="252" w:lineRule="auto"/>
        <w:ind w:left="1685" w:right="0" w:firstLine="0"/>
        <w:textAlignment w:val="auto"/>
        <w:rPr>
          <w:rFonts w:hint="eastAsia" w:ascii="宋体" w:hAnsi="宋体" w:eastAsia="宋体" w:cs="宋体"/>
          <w:highlight w:val="none"/>
        </w:rPr>
      </w:pPr>
      <w:r>
        <w:rPr>
          <w:rFonts w:hint="eastAsia" w:ascii="宋体" w:hAnsi="宋体" w:eastAsia="宋体" w:cs="宋体"/>
          <w:highlight w:val="none"/>
        </w:rPr>
        <w:t xml:space="preserve"> </w:t>
      </w:r>
    </w:p>
    <w:p>
      <w:pPr>
        <w:keepNext w:val="0"/>
        <w:keepLines w:val="0"/>
        <w:pageBreakBefore w:val="0"/>
        <w:widowControl/>
        <w:numPr>
          <w:ilvl w:val="0"/>
          <w:numId w:val="8"/>
        </w:numPr>
        <w:kinsoku/>
        <w:wordWrap/>
        <w:overflowPunct/>
        <w:topLinePunct w:val="0"/>
        <w:autoSpaceDE/>
        <w:autoSpaceDN/>
        <w:bidi w:val="0"/>
        <w:adjustRightInd/>
        <w:snapToGrid/>
        <w:spacing w:after="0" w:line="252" w:lineRule="auto"/>
        <w:ind w:right="8" w:hanging="539"/>
        <w:textAlignment w:val="auto"/>
        <w:rPr>
          <w:rFonts w:hint="eastAsia" w:ascii="宋体" w:hAnsi="宋体" w:eastAsia="宋体" w:cs="宋体"/>
          <w:highlight w:val="none"/>
        </w:rPr>
      </w:pPr>
      <w:r>
        <w:rPr>
          <w:rFonts w:hint="eastAsia" w:ascii="宋体" w:hAnsi="宋体" w:eastAsia="宋体" w:cs="宋体"/>
          <w:highlight w:val="none"/>
        </w:rPr>
        <w:t xml:space="preserve">BAS 系统控制逻辑流程图； </w:t>
      </w:r>
    </w:p>
    <w:p>
      <w:pPr>
        <w:keepNext w:val="0"/>
        <w:keepLines w:val="0"/>
        <w:pageBreakBefore w:val="0"/>
        <w:widowControl/>
        <w:numPr>
          <w:ilvl w:val="0"/>
          <w:numId w:val="8"/>
        </w:numPr>
        <w:kinsoku/>
        <w:wordWrap/>
        <w:overflowPunct/>
        <w:topLinePunct w:val="0"/>
        <w:autoSpaceDE/>
        <w:autoSpaceDN/>
        <w:bidi w:val="0"/>
        <w:adjustRightInd/>
        <w:snapToGrid/>
        <w:spacing w:after="0" w:line="252" w:lineRule="auto"/>
        <w:ind w:right="8" w:hanging="539"/>
        <w:textAlignment w:val="auto"/>
        <w:rPr>
          <w:rFonts w:hint="eastAsia" w:ascii="宋体" w:hAnsi="宋体" w:eastAsia="宋体" w:cs="宋体"/>
          <w:highlight w:val="none"/>
        </w:rPr>
      </w:pPr>
      <w:r>
        <w:rPr>
          <w:rFonts w:hint="eastAsia" w:ascii="宋体" w:hAnsi="宋体" w:eastAsia="宋体" w:cs="宋体"/>
          <w:highlight w:val="none"/>
        </w:rPr>
        <w:t xml:space="preserve">智能化系统（包括电缆、电线、控制线、放大器、分配器等）之损耗压降及信号衰减计算； </w:t>
      </w:r>
    </w:p>
    <w:p>
      <w:pPr>
        <w:keepNext w:val="0"/>
        <w:keepLines w:val="0"/>
        <w:pageBreakBefore w:val="0"/>
        <w:widowControl/>
        <w:numPr>
          <w:ilvl w:val="0"/>
          <w:numId w:val="8"/>
        </w:numPr>
        <w:kinsoku/>
        <w:wordWrap/>
        <w:overflowPunct/>
        <w:topLinePunct w:val="0"/>
        <w:autoSpaceDE/>
        <w:autoSpaceDN/>
        <w:bidi w:val="0"/>
        <w:adjustRightInd/>
        <w:snapToGrid/>
        <w:spacing w:after="0" w:line="252" w:lineRule="auto"/>
        <w:ind w:right="8" w:hanging="539"/>
        <w:textAlignment w:val="auto"/>
        <w:rPr>
          <w:rFonts w:hint="eastAsia" w:ascii="宋体" w:hAnsi="宋体" w:eastAsia="宋体" w:cs="宋体"/>
          <w:highlight w:val="none"/>
        </w:rPr>
      </w:pPr>
      <w:r>
        <w:rPr>
          <w:rFonts w:hint="eastAsia" w:ascii="宋体" w:hAnsi="宋体" w:eastAsia="宋体" w:cs="宋体"/>
          <w:highlight w:val="none"/>
        </w:rPr>
        <w:t xml:space="preserve">UPS 容量计算。 </w:t>
      </w:r>
    </w:p>
    <w:p>
      <w:pPr>
        <w:keepNext w:val="0"/>
        <w:keepLines w:val="0"/>
        <w:pageBreakBefore w:val="0"/>
        <w:widowControl/>
        <w:numPr>
          <w:ilvl w:val="0"/>
          <w:numId w:val="8"/>
        </w:numPr>
        <w:kinsoku/>
        <w:wordWrap/>
        <w:overflowPunct/>
        <w:topLinePunct w:val="0"/>
        <w:autoSpaceDE/>
        <w:autoSpaceDN/>
        <w:bidi w:val="0"/>
        <w:adjustRightInd/>
        <w:snapToGrid/>
        <w:spacing w:after="0" w:line="252" w:lineRule="auto"/>
        <w:ind w:right="8" w:hanging="539"/>
        <w:textAlignment w:val="auto"/>
        <w:rPr>
          <w:rFonts w:hint="eastAsia" w:ascii="宋体" w:hAnsi="宋体" w:eastAsia="宋体" w:cs="宋体"/>
          <w:highlight w:val="none"/>
        </w:rPr>
      </w:pPr>
      <w:r>
        <w:rPr>
          <w:rFonts w:hint="eastAsia" w:ascii="宋体" w:hAnsi="宋体" w:eastAsia="宋体" w:cs="宋体"/>
          <w:highlight w:val="none"/>
        </w:rPr>
        <w:t>深化设计的机房平面布置图（应根据现场及机房的实际情况，充分考</w:t>
      </w:r>
    </w:p>
    <w:p>
      <w:pPr>
        <w:keepNext w:val="0"/>
        <w:keepLines w:val="0"/>
        <w:pageBreakBefore w:val="0"/>
        <w:widowControl/>
        <w:kinsoku/>
        <w:wordWrap/>
        <w:overflowPunct/>
        <w:topLinePunct w:val="0"/>
        <w:autoSpaceDE/>
        <w:autoSpaceDN/>
        <w:bidi w:val="0"/>
        <w:adjustRightInd/>
        <w:snapToGrid/>
        <w:spacing w:after="0" w:line="252" w:lineRule="auto"/>
        <w:ind w:left="2232" w:right="8"/>
        <w:textAlignment w:val="auto"/>
        <w:rPr>
          <w:rFonts w:hint="eastAsia" w:ascii="宋体" w:hAnsi="宋体" w:eastAsia="宋体" w:cs="宋体"/>
          <w:highlight w:val="none"/>
        </w:rPr>
      </w:pPr>
      <w:r>
        <w:rPr>
          <w:rFonts w:hint="eastAsia" w:ascii="宋体" w:hAnsi="宋体" w:eastAsia="宋体" w:cs="宋体"/>
          <w:highlight w:val="none"/>
        </w:rPr>
        <w:t xml:space="preserve">虑散热、后期维护等因素进行设计）。 </w:t>
      </w:r>
    </w:p>
    <w:p>
      <w:pPr>
        <w:spacing w:after="0" w:line="259" w:lineRule="auto"/>
        <w:ind w:left="1598" w:right="0" w:firstLine="0"/>
        <w:rPr>
          <w:rFonts w:hint="eastAsia" w:ascii="宋体" w:hAnsi="宋体" w:eastAsia="宋体" w:cs="宋体"/>
          <w:highlight w:val="none"/>
        </w:rPr>
      </w:pPr>
      <w:r>
        <w:rPr>
          <w:rFonts w:hint="eastAsia" w:ascii="宋体" w:hAnsi="宋体" w:eastAsia="宋体" w:cs="宋体"/>
          <w:highlight w:val="none"/>
        </w:rPr>
        <w:t xml:space="preserve"> </w:t>
      </w:r>
    </w:p>
    <w:p>
      <w:pPr>
        <w:spacing w:after="0" w:line="240" w:lineRule="auto"/>
        <w:ind w:left="0" w:right="0" w:firstLine="0"/>
        <w:rPr>
          <w:rFonts w:hint="eastAsia" w:ascii="宋体" w:hAnsi="宋体" w:eastAsia="宋体" w:cs="宋体"/>
          <w:highlight w:val="none"/>
        </w:rPr>
      </w:pPr>
      <w:r>
        <w:rPr>
          <w:rFonts w:hint="eastAsia" w:ascii="宋体" w:hAnsi="宋体" w:eastAsia="宋体" w:cs="宋体"/>
          <w:highlight w:val="none"/>
        </w:rPr>
        <w:br w:type="page"/>
      </w:r>
    </w:p>
    <w:p>
      <w:pPr>
        <w:spacing w:after="0" w:line="259" w:lineRule="auto"/>
        <w:ind w:left="1598" w:right="0" w:firstLine="0"/>
        <w:rPr>
          <w:rFonts w:hint="eastAsia" w:ascii="宋体" w:hAnsi="宋体" w:eastAsia="宋体" w:cs="宋体"/>
          <w:highlight w:val="none"/>
        </w:rPr>
      </w:pPr>
      <w:r>
        <w:rPr>
          <w:rFonts w:hint="eastAsia" w:ascii="宋体" w:hAnsi="宋体" w:eastAsia="宋体" w:cs="宋体"/>
          <w:highlight w:val="none"/>
        </w:rPr>
        <w:t xml:space="preserve"> </w:t>
      </w:r>
    </w:p>
    <w:p>
      <w:pPr>
        <w:pStyle w:val="2"/>
        <w:spacing w:after="321"/>
        <w:ind w:left="1670" w:right="8" w:hanging="1080"/>
        <w:rPr>
          <w:rFonts w:hint="eastAsia" w:ascii="宋体" w:hAnsi="宋体" w:eastAsia="宋体" w:cs="宋体"/>
          <w:b/>
          <w:bCs/>
          <w:highlight w:val="none"/>
        </w:rPr>
      </w:pPr>
      <w:bookmarkStart w:id="4" w:name="_Toc12819"/>
      <w:r>
        <w:rPr>
          <w:rFonts w:hint="eastAsia" w:ascii="宋体" w:hAnsi="宋体" w:eastAsia="宋体" w:cs="宋体"/>
          <w:b/>
          <w:bCs/>
          <w:highlight w:val="none"/>
        </w:rPr>
        <w:t>备用件及工具</w:t>
      </w:r>
      <w:bookmarkEnd w:id="4"/>
      <w:r>
        <w:rPr>
          <w:rFonts w:hint="eastAsia" w:ascii="宋体" w:hAnsi="宋体" w:eastAsia="宋体" w:cs="宋体"/>
          <w:b/>
          <w:bCs/>
          <w:highlight w:val="none"/>
        </w:rPr>
        <w:t xml:space="preserve">  </w:t>
      </w:r>
    </w:p>
    <w:p>
      <w:pPr>
        <w:spacing w:after="0" w:line="259" w:lineRule="auto"/>
        <w:ind w:left="1685" w:right="0" w:firstLine="0"/>
        <w:rPr>
          <w:rFonts w:hint="eastAsia" w:ascii="宋体" w:hAnsi="宋体" w:eastAsia="宋体" w:cs="宋体"/>
          <w:highlight w:val="none"/>
        </w:rPr>
      </w:pPr>
      <w:r>
        <w:rPr>
          <w:rFonts w:hint="eastAsia" w:ascii="宋体" w:hAnsi="宋体" w:eastAsia="宋体" w:cs="宋体"/>
          <w:highlight w:val="none"/>
        </w:rPr>
        <w:t xml:space="preserve">承包单位须安排及准备必要/充足的零备件和替换材料，以便保修期开始前立刻交付业主。用以保证设备系统能在不影响其性能和稳定性下圆满地连续运作。 </w:t>
      </w:r>
    </w:p>
    <w:p>
      <w:pPr>
        <w:spacing w:after="2" w:line="259" w:lineRule="auto"/>
        <w:ind w:left="1325" w:right="0" w:firstLine="0"/>
        <w:rPr>
          <w:rFonts w:hint="eastAsia" w:ascii="宋体" w:hAnsi="宋体" w:eastAsia="宋体" w:cs="宋体"/>
          <w:highlight w:val="none"/>
        </w:rPr>
      </w:pPr>
      <w:r>
        <w:rPr>
          <w:rFonts w:hint="eastAsia" w:ascii="宋体" w:hAnsi="宋体" w:eastAsia="宋体" w:cs="宋体"/>
          <w:highlight w:val="none"/>
        </w:rPr>
        <w:t xml:space="preserve"> </w:t>
      </w:r>
    </w:p>
    <w:p>
      <w:pPr>
        <w:spacing w:after="311"/>
        <w:ind w:left="600" w:right="8"/>
        <w:rPr>
          <w:rFonts w:hint="eastAsia" w:ascii="宋体" w:hAnsi="宋体" w:eastAsia="宋体" w:cs="宋体"/>
          <w:highlight w:val="none"/>
        </w:rPr>
      </w:pPr>
      <w:r>
        <w:rPr>
          <w:rFonts w:hint="eastAsia" w:ascii="宋体" w:hAnsi="宋体" w:eastAsia="宋体" w:cs="宋体"/>
          <w:highlight w:val="none"/>
        </w:rPr>
        <w:t xml:space="preserve">5.1 </w:t>
      </w:r>
      <w:r>
        <w:rPr>
          <w:rFonts w:hint="eastAsia" w:ascii="宋体" w:hAnsi="宋体" w:eastAsia="宋体" w:cs="宋体"/>
          <w:highlight w:val="none"/>
        </w:rPr>
        <w:tab/>
      </w:r>
      <w:r>
        <w:rPr>
          <w:rFonts w:hint="eastAsia" w:ascii="宋体" w:hAnsi="宋体" w:eastAsia="宋体" w:cs="宋体"/>
          <w:highlight w:val="none"/>
        </w:rPr>
        <w:tab/>
      </w:r>
      <w:r>
        <w:rPr>
          <w:rFonts w:hint="eastAsia" w:ascii="宋体" w:hAnsi="宋体" w:eastAsia="宋体" w:cs="宋体"/>
          <w:highlight w:val="none"/>
        </w:rPr>
        <w:t xml:space="preserve">零备件 </w:t>
      </w:r>
    </w:p>
    <w:p>
      <w:pPr>
        <w:spacing w:after="7"/>
        <w:ind w:left="1605" w:right="8"/>
        <w:rPr>
          <w:rFonts w:hint="eastAsia" w:ascii="宋体" w:hAnsi="宋体" w:eastAsia="宋体" w:cs="宋体"/>
          <w:highlight w:val="none"/>
        </w:rPr>
      </w:pPr>
      <w:r>
        <w:rPr>
          <w:rFonts w:hint="eastAsia" w:ascii="宋体" w:hAnsi="宋体" w:eastAsia="宋体" w:cs="宋体"/>
          <w:highlight w:val="none"/>
        </w:rPr>
        <w:t xml:space="preserve">除本技术规格说明书其它章节所要求外，承包单位须提供必要/充足的零备件。 </w:t>
      </w:r>
    </w:p>
    <w:p>
      <w:pPr>
        <w:spacing w:after="3" w:line="259" w:lineRule="auto"/>
        <w:ind w:left="1595" w:right="0" w:firstLine="0"/>
        <w:rPr>
          <w:rFonts w:hint="eastAsia" w:ascii="宋体" w:hAnsi="宋体" w:eastAsia="宋体" w:cs="宋体"/>
          <w:highlight w:val="none"/>
        </w:rPr>
      </w:pPr>
      <w:r>
        <w:rPr>
          <w:rFonts w:hint="eastAsia" w:ascii="宋体" w:hAnsi="宋体" w:eastAsia="宋体" w:cs="宋体"/>
          <w:highlight w:val="none"/>
        </w:rPr>
        <w:t xml:space="preserve"> </w:t>
      </w:r>
    </w:p>
    <w:p>
      <w:pPr>
        <w:spacing w:after="0"/>
        <w:ind w:left="1680" w:right="8" w:hanging="1090"/>
        <w:rPr>
          <w:rFonts w:hint="eastAsia" w:ascii="宋体" w:hAnsi="宋体" w:eastAsia="宋体" w:cs="宋体"/>
          <w:highlight w:val="none"/>
        </w:rPr>
      </w:pPr>
      <w:r>
        <w:rPr>
          <w:rFonts w:hint="eastAsia" w:ascii="宋体" w:hAnsi="宋体" w:eastAsia="宋体" w:cs="宋体"/>
          <w:highlight w:val="none"/>
        </w:rPr>
        <w:t xml:space="preserve">5.2 </w:t>
      </w:r>
      <w:r>
        <w:rPr>
          <w:rFonts w:hint="eastAsia" w:ascii="宋体" w:hAnsi="宋体" w:eastAsia="宋体" w:cs="宋体"/>
          <w:highlight w:val="none"/>
        </w:rPr>
        <w:tab/>
      </w:r>
      <w:r>
        <w:rPr>
          <w:rFonts w:hint="eastAsia" w:ascii="宋体" w:hAnsi="宋体" w:eastAsia="宋体" w:cs="宋体"/>
          <w:highlight w:val="none"/>
        </w:rPr>
        <w:t xml:space="preserve">除提供上述要求的零备件外，本承包单位另须提供一份由承包单位建议的零备件及工具表，详细列出各项零备件及工具的数量和价格，并列明其一般的更换率，以供业主决定是否购买清单内的全部或部份零备件。清单必须附有供应商和代理人的姓名。承包单位须预早提交以上的零备件及工具表供业主/工程师考虑，以便承包单位安排将所需零备件/工具于保修期开始前送抵工地。 </w:t>
      </w:r>
    </w:p>
    <w:p>
      <w:pPr>
        <w:spacing w:after="0" w:line="259" w:lineRule="auto"/>
        <w:ind w:left="1685" w:right="0" w:firstLine="0"/>
        <w:rPr>
          <w:rFonts w:hint="eastAsia" w:ascii="宋体" w:hAnsi="宋体" w:eastAsia="宋体" w:cs="宋体"/>
          <w:highlight w:val="none"/>
        </w:rPr>
      </w:pPr>
      <w:r>
        <w:rPr>
          <w:rFonts w:hint="eastAsia" w:ascii="宋体" w:hAnsi="宋体" w:eastAsia="宋体" w:cs="宋体"/>
          <w:highlight w:val="none"/>
        </w:rPr>
        <w:t xml:space="preserve"> </w:t>
      </w:r>
    </w:p>
    <w:p>
      <w:pPr>
        <w:spacing w:after="0"/>
        <w:ind w:left="600" w:right="8"/>
        <w:rPr>
          <w:rFonts w:hint="eastAsia" w:ascii="宋体" w:hAnsi="宋体" w:eastAsia="宋体" w:cs="宋体"/>
          <w:highlight w:val="none"/>
        </w:rPr>
      </w:pPr>
      <w:r>
        <w:rPr>
          <w:rFonts w:hint="eastAsia" w:ascii="宋体" w:hAnsi="宋体" w:eastAsia="宋体" w:cs="宋体"/>
          <w:highlight w:val="none"/>
        </w:rPr>
        <w:t xml:space="preserve">5.3 </w:t>
      </w:r>
      <w:r>
        <w:rPr>
          <w:rFonts w:hint="eastAsia" w:ascii="宋体" w:hAnsi="宋体" w:eastAsia="宋体" w:cs="宋体"/>
          <w:highlight w:val="none"/>
        </w:rPr>
        <w:tab/>
      </w:r>
      <w:r>
        <w:rPr>
          <w:rFonts w:hint="eastAsia" w:ascii="宋体" w:hAnsi="宋体" w:eastAsia="宋体" w:cs="宋体"/>
          <w:highlight w:val="none"/>
        </w:rPr>
        <w:tab/>
      </w:r>
      <w:r>
        <w:rPr>
          <w:rFonts w:hint="eastAsia" w:ascii="宋体" w:hAnsi="宋体" w:eastAsia="宋体" w:cs="宋体"/>
          <w:highlight w:val="none"/>
        </w:rPr>
        <w:t>所有零配件及特别工具应与系统设备同期制造，并通过测试、调校、适当地</w:t>
      </w:r>
    </w:p>
    <w:p>
      <w:pPr>
        <w:spacing w:after="0"/>
        <w:ind w:left="1440" w:right="8" w:firstLine="240"/>
        <w:rPr>
          <w:rFonts w:hint="eastAsia" w:ascii="宋体" w:hAnsi="宋体" w:eastAsia="宋体" w:cs="宋体"/>
          <w:highlight w:val="none"/>
        </w:rPr>
      </w:pPr>
      <w:r>
        <w:rPr>
          <w:rFonts w:hint="eastAsia" w:ascii="宋体" w:hAnsi="宋体" w:eastAsia="宋体" w:cs="宋体"/>
          <w:highlight w:val="none"/>
        </w:rPr>
        <w:t xml:space="preserve">包装和标示，并由本承包单位负责运送到工地。 </w:t>
      </w:r>
    </w:p>
    <w:p>
      <w:pPr>
        <w:spacing w:after="0" w:line="259" w:lineRule="auto"/>
        <w:ind w:left="1685" w:right="0" w:firstLine="0"/>
        <w:rPr>
          <w:rFonts w:hint="eastAsia" w:ascii="宋体" w:hAnsi="宋体" w:eastAsia="宋体" w:cs="宋体"/>
          <w:highlight w:val="none"/>
        </w:rPr>
      </w:pPr>
      <w:r>
        <w:rPr>
          <w:rFonts w:hint="eastAsia" w:ascii="宋体" w:hAnsi="宋体" w:eastAsia="宋体" w:cs="宋体"/>
          <w:highlight w:val="none"/>
        </w:rPr>
        <w:t xml:space="preserve"> </w:t>
      </w:r>
    </w:p>
    <w:p>
      <w:pPr>
        <w:spacing w:after="0"/>
        <w:ind w:left="600" w:right="8"/>
        <w:rPr>
          <w:rFonts w:hint="eastAsia" w:ascii="宋体" w:hAnsi="宋体" w:eastAsia="宋体" w:cs="宋体"/>
          <w:highlight w:val="none"/>
        </w:rPr>
      </w:pPr>
      <w:r>
        <w:rPr>
          <w:rFonts w:hint="eastAsia" w:ascii="宋体" w:hAnsi="宋体" w:eastAsia="宋体" w:cs="宋体"/>
          <w:highlight w:val="none"/>
        </w:rPr>
        <w:t xml:space="preserve">5.4 </w:t>
      </w:r>
      <w:r>
        <w:rPr>
          <w:rFonts w:hint="eastAsia" w:ascii="宋体" w:hAnsi="宋体" w:eastAsia="宋体" w:cs="宋体"/>
          <w:highlight w:val="none"/>
        </w:rPr>
        <w:tab/>
      </w:r>
      <w:r>
        <w:rPr>
          <w:rFonts w:hint="eastAsia" w:ascii="宋体" w:hAnsi="宋体" w:eastAsia="宋体" w:cs="宋体"/>
          <w:highlight w:val="none"/>
        </w:rPr>
        <w:tab/>
      </w:r>
      <w:r>
        <w:rPr>
          <w:rFonts w:hint="eastAsia" w:ascii="宋体" w:hAnsi="宋体" w:eastAsia="宋体" w:cs="宋体"/>
          <w:highlight w:val="none"/>
        </w:rPr>
        <w:t>所有用作维修保养所需的特别工具和仪器需由承包单位提供，安放在机房的</w:t>
      </w:r>
    </w:p>
    <w:p>
      <w:pPr>
        <w:spacing w:after="0"/>
        <w:ind w:left="1440" w:right="8" w:firstLine="240"/>
        <w:rPr>
          <w:rFonts w:hint="eastAsia" w:ascii="宋体" w:hAnsi="宋体" w:eastAsia="宋体" w:cs="宋体"/>
          <w:highlight w:val="none"/>
        </w:rPr>
      </w:pPr>
      <w:r>
        <w:rPr>
          <w:rFonts w:hint="eastAsia" w:ascii="宋体" w:hAnsi="宋体" w:eastAsia="宋体" w:cs="宋体"/>
          <w:highlight w:val="none"/>
        </w:rPr>
        <w:t xml:space="preserve">适当位置，以便操作，维修和紧急服务。 </w:t>
      </w:r>
    </w:p>
    <w:p>
      <w:pPr>
        <w:spacing w:after="0" w:line="259" w:lineRule="auto"/>
        <w:ind w:left="1685" w:right="0" w:firstLine="0"/>
        <w:rPr>
          <w:rFonts w:hint="eastAsia" w:ascii="宋体" w:hAnsi="宋体" w:eastAsia="宋体" w:cs="宋体"/>
          <w:highlight w:val="none"/>
        </w:rPr>
      </w:pPr>
      <w:r>
        <w:rPr>
          <w:rFonts w:hint="eastAsia" w:ascii="宋体" w:hAnsi="宋体" w:eastAsia="宋体" w:cs="宋体"/>
          <w:highlight w:val="none"/>
        </w:rPr>
        <w:t xml:space="preserve"> </w:t>
      </w:r>
      <w:r>
        <w:rPr>
          <w:rFonts w:hint="eastAsia" w:ascii="宋体" w:hAnsi="宋体" w:eastAsia="宋体" w:cs="宋体"/>
          <w:highlight w:val="none"/>
        </w:rPr>
        <w:tab/>
      </w:r>
      <w:r>
        <w:rPr>
          <w:rFonts w:hint="eastAsia" w:ascii="宋体" w:hAnsi="宋体" w:eastAsia="宋体" w:cs="宋体"/>
          <w:highlight w:val="none"/>
        </w:rPr>
        <w:t xml:space="preserve"> </w:t>
      </w:r>
      <w:r>
        <w:rPr>
          <w:rFonts w:hint="eastAsia" w:ascii="宋体" w:hAnsi="宋体" w:eastAsia="宋体" w:cs="宋体"/>
          <w:highlight w:val="none"/>
        </w:rPr>
        <w:br w:type="page"/>
      </w:r>
    </w:p>
    <w:p>
      <w:pPr>
        <w:pStyle w:val="2"/>
        <w:spacing w:after="321"/>
        <w:ind w:left="1670" w:right="8" w:hanging="1080"/>
        <w:rPr>
          <w:rFonts w:hint="eastAsia" w:ascii="宋体" w:hAnsi="宋体" w:eastAsia="宋体" w:cs="宋体"/>
          <w:b/>
          <w:bCs/>
          <w:highlight w:val="none"/>
        </w:rPr>
      </w:pPr>
      <w:bookmarkStart w:id="5" w:name="_Toc14532"/>
      <w:r>
        <w:rPr>
          <w:rFonts w:hint="eastAsia" w:ascii="宋体" w:hAnsi="宋体" w:eastAsia="宋体" w:cs="宋体"/>
          <w:b/>
          <w:bCs/>
          <w:highlight w:val="none"/>
        </w:rPr>
        <w:t>人员的培训</w:t>
      </w:r>
      <w:bookmarkEnd w:id="5"/>
      <w:r>
        <w:rPr>
          <w:rFonts w:hint="eastAsia" w:ascii="宋体" w:hAnsi="宋体" w:eastAsia="宋体" w:cs="宋体"/>
          <w:b/>
          <w:bCs/>
          <w:highlight w:val="none"/>
        </w:rPr>
        <w:t xml:space="preserve">  </w:t>
      </w:r>
    </w:p>
    <w:p>
      <w:pPr>
        <w:ind w:left="1583" w:right="8" w:hanging="993"/>
        <w:rPr>
          <w:rFonts w:hint="eastAsia" w:ascii="宋体" w:hAnsi="宋体" w:eastAsia="宋体" w:cs="宋体"/>
          <w:highlight w:val="none"/>
        </w:rPr>
      </w:pPr>
      <w:r>
        <w:rPr>
          <w:rFonts w:hint="eastAsia" w:ascii="宋体" w:hAnsi="宋体" w:eastAsia="宋体" w:cs="宋体"/>
          <w:highlight w:val="none"/>
        </w:rPr>
        <w:t xml:space="preserve">6.1 </w:t>
      </w:r>
      <w:r>
        <w:rPr>
          <w:rFonts w:hint="eastAsia" w:ascii="宋体" w:hAnsi="宋体" w:eastAsia="宋体" w:cs="宋体"/>
          <w:highlight w:val="none"/>
        </w:rPr>
        <w:tab/>
      </w:r>
      <w:r>
        <w:rPr>
          <w:rFonts w:hint="eastAsia" w:ascii="宋体" w:hAnsi="宋体" w:eastAsia="宋体" w:cs="宋体"/>
          <w:highlight w:val="none"/>
        </w:rPr>
        <w:t xml:space="preserve">承包单位须提供所需的培训设施和课程，以确保业主的工程人员能对承包单位所提供的系统和设备装置的日常运作、故障和例行维护、事故的处理和解决措施等有全面性的认识和了解。 </w:t>
      </w:r>
    </w:p>
    <w:p>
      <w:pPr>
        <w:ind w:left="1583" w:right="8" w:hanging="993"/>
        <w:rPr>
          <w:rFonts w:hint="eastAsia" w:ascii="宋体" w:hAnsi="宋体" w:eastAsia="宋体" w:cs="宋体"/>
          <w:highlight w:val="none"/>
        </w:rPr>
      </w:pPr>
      <w:r>
        <w:rPr>
          <w:rFonts w:hint="eastAsia" w:ascii="宋体" w:hAnsi="宋体" w:eastAsia="宋体" w:cs="宋体"/>
          <w:highlight w:val="none"/>
        </w:rPr>
        <w:t xml:space="preserve">6.2 </w:t>
      </w:r>
      <w:r>
        <w:rPr>
          <w:rFonts w:hint="eastAsia" w:ascii="宋体" w:hAnsi="宋体" w:eastAsia="宋体" w:cs="宋体"/>
          <w:highlight w:val="none"/>
        </w:rPr>
        <w:tab/>
      </w:r>
      <w:r>
        <w:rPr>
          <w:rFonts w:hint="eastAsia" w:ascii="宋体" w:hAnsi="宋体" w:eastAsia="宋体" w:cs="宋体"/>
          <w:highlight w:val="none"/>
        </w:rPr>
        <w:t xml:space="preserve">承包单位须编制一套详尽的培训计划，列出每项课程的大纲、培训导师资料及培训所需时间，提交建筑师/工程师审核。同时，承包单位应按每项课程提出接受培训的学员应具备的资历要求，使有关培训能收到预期的效果。 </w:t>
      </w:r>
    </w:p>
    <w:p>
      <w:pPr>
        <w:ind w:left="1583" w:right="8" w:hanging="993"/>
        <w:rPr>
          <w:rFonts w:hint="eastAsia" w:ascii="宋体" w:hAnsi="宋体" w:eastAsia="宋体" w:cs="宋体"/>
          <w:highlight w:val="none"/>
        </w:rPr>
      </w:pPr>
      <w:r>
        <w:rPr>
          <w:rFonts w:hint="eastAsia" w:ascii="宋体" w:hAnsi="宋体" w:eastAsia="宋体" w:cs="宋体"/>
          <w:highlight w:val="none"/>
        </w:rPr>
        <w:t xml:space="preserve">6.3 </w:t>
      </w:r>
      <w:r>
        <w:rPr>
          <w:rFonts w:hint="eastAsia" w:ascii="宋体" w:hAnsi="宋体" w:eastAsia="宋体" w:cs="宋体"/>
          <w:highlight w:val="none"/>
        </w:rPr>
        <w:tab/>
      </w:r>
      <w:r>
        <w:rPr>
          <w:rFonts w:hint="eastAsia" w:ascii="宋体" w:hAnsi="宋体" w:eastAsia="宋体" w:cs="宋体"/>
          <w:highlight w:val="none"/>
        </w:rPr>
        <w:t xml:space="preserve">承包单位委派资深导师进行每项培训工作，培训需以普通话作讲授。所有导师的资历须先提交建筑师/工程师作审核认可。 </w:t>
      </w:r>
    </w:p>
    <w:p>
      <w:pPr>
        <w:ind w:left="1583" w:right="8" w:hanging="993"/>
        <w:rPr>
          <w:rFonts w:hint="eastAsia" w:ascii="宋体" w:hAnsi="宋体" w:eastAsia="宋体" w:cs="宋体"/>
          <w:highlight w:val="none"/>
        </w:rPr>
      </w:pPr>
      <w:r>
        <w:rPr>
          <w:rFonts w:hint="eastAsia" w:ascii="宋体" w:hAnsi="宋体" w:eastAsia="宋体" w:cs="宋体"/>
          <w:highlight w:val="none"/>
        </w:rPr>
        <w:t xml:space="preserve">6.4 </w:t>
      </w:r>
      <w:r>
        <w:rPr>
          <w:rFonts w:hint="eastAsia" w:ascii="宋体" w:hAnsi="宋体" w:eastAsia="宋体" w:cs="宋体"/>
          <w:highlight w:val="none"/>
        </w:rPr>
        <w:tab/>
      </w:r>
      <w:r>
        <w:rPr>
          <w:rFonts w:hint="eastAsia" w:ascii="宋体" w:hAnsi="宋体" w:eastAsia="宋体" w:cs="宋体"/>
          <w:highlight w:val="none"/>
        </w:rPr>
        <w:t xml:space="preserve">培训应在系统试运行期间进行，承包单位培训内容包含但不限于智能化各子系统设备的基本结构性能、工作原理及操作程序、设备的安装测试、系统的操作、日常维护和常见问题处理。 </w:t>
      </w:r>
    </w:p>
    <w:p>
      <w:pPr>
        <w:ind w:left="1583" w:right="8" w:hanging="993"/>
        <w:rPr>
          <w:rFonts w:hint="eastAsia" w:ascii="宋体" w:hAnsi="宋体" w:eastAsia="宋体" w:cs="宋体"/>
          <w:highlight w:val="none"/>
        </w:rPr>
      </w:pPr>
      <w:r>
        <w:rPr>
          <w:rFonts w:hint="eastAsia" w:ascii="宋体" w:hAnsi="宋体" w:eastAsia="宋体" w:cs="宋体"/>
          <w:highlight w:val="none"/>
        </w:rPr>
        <w:t xml:space="preserve">6.5 </w:t>
      </w:r>
      <w:r>
        <w:rPr>
          <w:rFonts w:hint="eastAsia" w:ascii="宋体" w:hAnsi="宋体" w:eastAsia="宋体" w:cs="宋体"/>
          <w:highlight w:val="none"/>
        </w:rPr>
        <w:tab/>
      </w:r>
      <w:r>
        <w:rPr>
          <w:rFonts w:hint="eastAsia" w:ascii="宋体" w:hAnsi="宋体" w:eastAsia="宋体" w:cs="宋体"/>
          <w:highlight w:val="none"/>
        </w:rPr>
        <w:t xml:space="preserve">培训计划需包含现场培训。承包单位应安排工程师对如何进行零件的拆装，如何排除故障等进行指导和演示，并对接受培训的学员进行实际操作培训。 </w:t>
      </w:r>
    </w:p>
    <w:p>
      <w:pPr>
        <w:ind w:left="1583" w:right="8" w:hanging="993"/>
        <w:rPr>
          <w:rFonts w:hint="eastAsia" w:ascii="宋体" w:hAnsi="宋体" w:eastAsia="宋体" w:cs="宋体"/>
          <w:highlight w:val="none"/>
        </w:rPr>
      </w:pPr>
      <w:r>
        <w:rPr>
          <w:rFonts w:hint="eastAsia" w:ascii="宋体" w:hAnsi="宋体" w:eastAsia="宋体" w:cs="宋体"/>
          <w:highlight w:val="none"/>
        </w:rPr>
        <w:t xml:space="preserve">6.6 </w:t>
      </w:r>
      <w:r>
        <w:rPr>
          <w:rFonts w:hint="eastAsia" w:ascii="宋体" w:hAnsi="宋体" w:eastAsia="宋体" w:cs="宋体"/>
          <w:highlight w:val="none"/>
        </w:rPr>
        <w:tab/>
      </w:r>
      <w:r>
        <w:rPr>
          <w:rFonts w:hint="eastAsia" w:ascii="宋体" w:hAnsi="宋体" w:eastAsia="宋体" w:cs="宋体"/>
          <w:highlight w:val="none"/>
        </w:rPr>
        <w:t xml:space="preserve">承包单位应向受训学员提供并解释有关设计资料、文件、图纸等，以及与各系统相关的产品使用说明书、工艺操作说明书及维修保养说明书，以便使学员对整套系统的各个方面都能熟练掌握。 </w:t>
      </w:r>
    </w:p>
    <w:p>
      <w:pPr>
        <w:ind w:left="1583" w:right="8" w:hanging="993"/>
        <w:rPr>
          <w:rFonts w:hint="eastAsia" w:ascii="宋体" w:hAnsi="宋体" w:eastAsia="宋体" w:cs="宋体"/>
          <w:highlight w:val="none"/>
        </w:rPr>
      </w:pPr>
      <w:r>
        <w:rPr>
          <w:rFonts w:hint="eastAsia" w:ascii="宋体" w:hAnsi="宋体" w:eastAsia="宋体" w:cs="宋体"/>
          <w:highlight w:val="none"/>
        </w:rPr>
        <w:t xml:space="preserve">6.7 </w:t>
      </w:r>
      <w:r>
        <w:rPr>
          <w:rFonts w:hint="eastAsia" w:ascii="宋体" w:hAnsi="宋体" w:eastAsia="宋体" w:cs="宋体"/>
          <w:highlight w:val="none"/>
        </w:rPr>
        <w:tab/>
      </w:r>
      <w:r>
        <w:rPr>
          <w:rFonts w:hint="eastAsia" w:ascii="宋体" w:hAnsi="宋体" w:eastAsia="宋体" w:cs="宋体"/>
          <w:highlight w:val="none"/>
        </w:rPr>
        <w:t xml:space="preserve">承包单位经业主同意可以利用安装、测试和交工试转的装置和设备对业主的工程人员进行培训。然而承包单位不得使用本合同内须提供的备用零部件进行培训。承包单位应提供足够的材料、设备、样本、模型、设备内部透视资料的复印本、幻灯、影片以及其它种种需要的培训教材文件，以便进行培训工作。培训课程完成后，有关装备和教材将为业主所有，以便日后业主自行对其它员工进行辅助性培训之用。所有教材文件须以中文说明。 </w:t>
      </w:r>
    </w:p>
    <w:p>
      <w:pPr>
        <w:ind w:left="1583" w:right="8" w:hanging="993"/>
        <w:rPr>
          <w:rFonts w:hint="eastAsia" w:ascii="宋体" w:hAnsi="宋体" w:eastAsia="宋体" w:cs="宋体"/>
          <w:highlight w:val="none"/>
        </w:rPr>
      </w:pPr>
      <w:r>
        <w:rPr>
          <w:rFonts w:hint="eastAsia" w:ascii="宋体" w:hAnsi="宋体" w:eastAsia="宋体" w:cs="宋体"/>
          <w:highlight w:val="none"/>
        </w:rPr>
        <w:t xml:space="preserve">6.8 </w:t>
      </w:r>
      <w:r>
        <w:rPr>
          <w:rFonts w:hint="eastAsia" w:ascii="宋体" w:hAnsi="宋体" w:eastAsia="宋体" w:cs="宋体"/>
          <w:highlight w:val="none"/>
        </w:rPr>
        <w:tab/>
      </w:r>
      <w:r>
        <w:rPr>
          <w:rFonts w:hint="eastAsia" w:ascii="宋体" w:hAnsi="宋体" w:eastAsia="宋体" w:cs="宋体"/>
          <w:highlight w:val="none"/>
        </w:rPr>
        <w:t>上述培训所需的费用应包括在承包单位的合同价内。然而培训时产生的额外开支如受训学员的住宿和交通费之类，则不需包括在合同价内。具体以合同商务条款要求为准。</w:t>
      </w:r>
    </w:p>
    <w:p>
      <w:pPr>
        <w:rPr>
          <w:rFonts w:hint="eastAsia" w:ascii="宋体" w:hAnsi="宋体" w:eastAsia="宋体" w:cs="宋体"/>
          <w:highlight w:val="none"/>
        </w:rPr>
      </w:pPr>
    </w:p>
    <w:p>
      <w:pPr>
        <w:rPr>
          <w:rFonts w:hint="eastAsia" w:ascii="宋体" w:hAnsi="宋体" w:eastAsia="宋体" w:cs="宋体"/>
          <w:highlight w:val="none"/>
        </w:rPr>
        <w:sectPr>
          <w:headerReference r:id="rId13" w:type="first"/>
          <w:footerReference r:id="rId16" w:type="first"/>
          <w:headerReference r:id="rId11" w:type="default"/>
          <w:footerReference r:id="rId14" w:type="default"/>
          <w:headerReference r:id="rId12" w:type="even"/>
          <w:footerReference r:id="rId15" w:type="even"/>
          <w:pgSz w:w="11909" w:h="16834"/>
          <w:pgMar w:top="1452" w:right="1198" w:bottom="1675" w:left="835" w:header="728" w:footer="719" w:gutter="0"/>
          <w:pgNumType w:start="1"/>
          <w:cols w:space="720" w:num="1"/>
        </w:sectPr>
      </w:pPr>
    </w:p>
    <w:p>
      <w:pPr>
        <w:pStyle w:val="2"/>
        <w:numPr>
          <w:ilvl w:val="0"/>
          <w:numId w:val="0"/>
        </w:numPr>
        <w:spacing w:after="321"/>
        <w:ind w:left="590" w:leftChars="0" w:right="8" w:rightChars="0"/>
        <w:rPr>
          <w:rFonts w:hint="eastAsia" w:ascii="宋体" w:hAnsi="宋体" w:eastAsia="宋体" w:cs="宋体"/>
          <w:b/>
          <w:bCs/>
          <w:highlight w:val="none"/>
        </w:rPr>
      </w:pPr>
      <w:bookmarkStart w:id="6" w:name="_Toc7857"/>
      <w:r>
        <w:rPr>
          <w:rFonts w:hint="eastAsia" w:ascii="宋体" w:hAnsi="宋体" w:eastAsia="宋体" w:cs="宋体"/>
          <w:b/>
          <w:bCs/>
          <w:highlight w:val="none"/>
        </w:rPr>
        <w:t xml:space="preserve">附件一 </w:t>
      </w:r>
      <w:r>
        <w:rPr>
          <w:rFonts w:hint="eastAsia" w:ascii="宋体" w:hAnsi="宋体" w:eastAsia="宋体" w:cs="宋体"/>
          <w:b/>
          <w:bCs/>
          <w:highlight w:val="none"/>
        </w:rPr>
        <w:tab/>
      </w:r>
      <w:r>
        <w:rPr>
          <w:rFonts w:hint="eastAsia" w:ascii="宋体" w:hAnsi="宋体" w:eastAsia="宋体" w:cs="宋体"/>
          <w:b/>
          <w:bCs/>
          <w:highlight w:val="none"/>
        </w:rPr>
        <w:t xml:space="preserve"> 与电梯施工单位详细界面</w:t>
      </w:r>
      <w:bookmarkEnd w:id="6"/>
    </w:p>
    <w:tbl>
      <w:tblPr>
        <w:tblStyle w:val="8"/>
        <w:tblW w:w="9252" w:type="dxa"/>
        <w:tblInd w:w="-125" w:type="dxa"/>
        <w:tblLayout w:type="fixed"/>
        <w:tblCellMar>
          <w:top w:w="0" w:type="dxa"/>
          <w:left w:w="108" w:type="dxa"/>
          <w:bottom w:w="0" w:type="dxa"/>
          <w:right w:w="108" w:type="dxa"/>
        </w:tblCellMar>
      </w:tblPr>
      <w:tblGrid>
        <w:gridCol w:w="696"/>
        <w:gridCol w:w="1812"/>
        <w:gridCol w:w="3576"/>
        <w:gridCol w:w="1032"/>
        <w:gridCol w:w="1164"/>
        <w:gridCol w:w="972"/>
      </w:tblGrid>
      <w:tr>
        <w:tblPrEx>
          <w:tblCellMar>
            <w:top w:w="0" w:type="dxa"/>
            <w:left w:w="108" w:type="dxa"/>
            <w:bottom w:w="0" w:type="dxa"/>
            <w:right w:w="108" w:type="dxa"/>
          </w:tblCellMar>
        </w:tblPrEx>
        <w:trPr>
          <w:trHeight w:val="288" w:hRule="atLeast"/>
        </w:trPr>
        <w:tc>
          <w:tcPr>
            <w:tcW w:w="696" w:type="dxa"/>
            <w:vMerge w:val="restar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序号</w:t>
            </w:r>
          </w:p>
        </w:tc>
        <w:tc>
          <w:tcPr>
            <w:tcW w:w="1812" w:type="dxa"/>
            <w:vMerge w:val="restar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ind w:right="-82" w:rightChars="-34"/>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施工类别</w:t>
            </w:r>
          </w:p>
        </w:tc>
        <w:tc>
          <w:tcPr>
            <w:tcW w:w="3576"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ind w:right="0" w:rightChars="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施工细节及其技术要求</w:t>
            </w:r>
          </w:p>
        </w:tc>
        <w:tc>
          <w:tcPr>
            <w:tcW w:w="3168" w:type="dxa"/>
            <w:gridSpan w:val="3"/>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ind w:right="72" w:rightChars="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负责实施的单位（对象）</w:t>
            </w:r>
          </w:p>
        </w:tc>
      </w:tr>
      <w:tr>
        <w:tblPrEx>
          <w:tblCellMar>
            <w:top w:w="0" w:type="dxa"/>
            <w:left w:w="108" w:type="dxa"/>
            <w:bottom w:w="0" w:type="dxa"/>
            <w:right w:w="108" w:type="dxa"/>
          </w:tblCellMar>
        </w:tblPrEx>
        <w:trPr>
          <w:trHeight w:val="288" w:hRule="atLeast"/>
        </w:trPr>
        <w:tc>
          <w:tcPr>
            <w:tcW w:w="696" w:type="dxa"/>
            <w:vMerge w:val="continue"/>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2"/>
                <w:szCs w:val="22"/>
                <w:highlight w:val="none"/>
                <w:u w:val="none"/>
              </w:rPr>
            </w:pPr>
          </w:p>
        </w:tc>
        <w:tc>
          <w:tcPr>
            <w:tcW w:w="1812" w:type="dxa"/>
            <w:vMerge w:val="continue"/>
            <w:tcBorders>
              <w:top w:val="single" w:color="000000" w:sz="4" w:space="0"/>
              <w:left w:val="single" w:color="000000" w:sz="4" w:space="0"/>
              <w:bottom w:val="single" w:color="000000" w:sz="4" w:space="0"/>
              <w:right w:val="single" w:color="000000" w:sz="4" w:space="0"/>
            </w:tcBorders>
            <w:noWrap/>
            <w:vAlign w:val="center"/>
          </w:tcPr>
          <w:p>
            <w:pPr>
              <w:ind w:right="-82" w:rightChars="-34"/>
              <w:jc w:val="center"/>
              <w:rPr>
                <w:rFonts w:hint="eastAsia" w:ascii="宋体" w:hAnsi="宋体" w:eastAsia="宋体" w:cs="宋体"/>
                <w:i w:val="0"/>
                <w:iCs w:val="0"/>
                <w:color w:val="000000"/>
                <w:sz w:val="22"/>
                <w:szCs w:val="22"/>
                <w:highlight w:val="none"/>
                <w:u w:val="none"/>
              </w:rPr>
            </w:pPr>
          </w:p>
        </w:tc>
        <w:tc>
          <w:tcPr>
            <w:tcW w:w="3576" w:type="dxa"/>
            <w:vMerge w:val="continue"/>
            <w:tcBorders>
              <w:top w:val="single" w:color="000000" w:sz="4" w:space="0"/>
              <w:left w:val="single" w:color="000000" w:sz="4" w:space="0"/>
              <w:bottom w:val="single" w:color="000000" w:sz="4" w:space="0"/>
              <w:right w:val="single" w:color="000000" w:sz="4" w:space="0"/>
            </w:tcBorders>
            <w:noWrap w:val="0"/>
            <w:vAlign w:val="center"/>
          </w:tcPr>
          <w:p>
            <w:pPr>
              <w:ind w:right="0" w:rightChars="0"/>
              <w:jc w:val="center"/>
              <w:rPr>
                <w:rFonts w:hint="eastAsia" w:ascii="宋体" w:hAnsi="宋体" w:eastAsia="宋体" w:cs="宋体"/>
                <w:i w:val="0"/>
                <w:iCs w:val="0"/>
                <w:color w:val="000000"/>
                <w:sz w:val="22"/>
                <w:szCs w:val="22"/>
                <w:highlight w:val="none"/>
                <w:u w:val="none"/>
              </w:rPr>
            </w:pPr>
          </w:p>
        </w:tc>
        <w:tc>
          <w:tcPr>
            <w:tcW w:w="103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ind w:right="72" w:rightChars="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总包单位</w:t>
            </w:r>
          </w:p>
        </w:tc>
        <w:tc>
          <w:tcPr>
            <w:tcW w:w="1164"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ind w:right="72" w:rightChars="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智能化安装单位</w:t>
            </w:r>
          </w:p>
        </w:tc>
        <w:tc>
          <w:tcPr>
            <w:tcW w:w="97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ind w:right="72" w:rightChars="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电梯安装单位</w:t>
            </w:r>
          </w:p>
        </w:tc>
      </w:tr>
      <w:tr>
        <w:tblPrEx>
          <w:tblCellMar>
            <w:top w:w="0" w:type="dxa"/>
            <w:left w:w="108" w:type="dxa"/>
            <w:bottom w:w="0" w:type="dxa"/>
            <w:right w:w="108" w:type="dxa"/>
          </w:tblCellMar>
        </w:tblPrEx>
        <w:trPr>
          <w:trHeight w:val="288" w:hRule="atLeast"/>
        </w:trPr>
        <w:tc>
          <w:tcPr>
            <w:tcW w:w="6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1</w:t>
            </w:r>
          </w:p>
        </w:tc>
        <w:tc>
          <w:tcPr>
            <w:tcW w:w="181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ind w:right="-82" w:rightChars="-34"/>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扶梯安全防护装置</w:t>
            </w:r>
          </w:p>
        </w:tc>
        <w:tc>
          <w:tcPr>
            <w:tcW w:w="357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ind w:right="0" w:rightChars="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包含各扶梯口防护栏杆、防爬装置的设置</w:t>
            </w:r>
          </w:p>
        </w:tc>
        <w:tc>
          <w:tcPr>
            <w:tcW w:w="103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ind w:right="72" w:rightChars="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w:t>
            </w:r>
          </w:p>
        </w:tc>
        <w:tc>
          <w:tcPr>
            <w:tcW w:w="1164" w:type="dxa"/>
            <w:tcBorders>
              <w:top w:val="single" w:color="000000" w:sz="4" w:space="0"/>
              <w:left w:val="single" w:color="000000" w:sz="4" w:space="0"/>
              <w:bottom w:val="single" w:color="000000" w:sz="4" w:space="0"/>
              <w:right w:val="single" w:color="000000" w:sz="4" w:space="0"/>
            </w:tcBorders>
            <w:noWrap/>
            <w:vAlign w:val="center"/>
          </w:tcPr>
          <w:p>
            <w:pPr>
              <w:ind w:right="72" w:rightChars="0"/>
              <w:jc w:val="center"/>
              <w:rPr>
                <w:rFonts w:hint="eastAsia" w:ascii="宋体" w:hAnsi="宋体" w:eastAsia="宋体" w:cs="宋体"/>
                <w:i w:val="0"/>
                <w:iCs w:val="0"/>
                <w:color w:val="000000"/>
                <w:sz w:val="22"/>
                <w:szCs w:val="22"/>
                <w:highlight w:val="none"/>
                <w:u w:val="none"/>
              </w:rPr>
            </w:pPr>
          </w:p>
        </w:tc>
        <w:tc>
          <w:tcPr>
            <w:tcW w:w="972" w:type="dxa"/>
            <w:tcBorders>
              <w:top w:val="single" w:color="000000" w:sz="4" w:space="0"/>
              <w:left w:val="single" w:color="000000" w:sz="4" w:space="0"/>
              <w:bottom w:val="single" w:color="000000" w:sz="4" w:space="0"/>
              <w:right w:val="single" w:color="000000" w:sz="4" w:space="0"/>
            </w:tcBorders>
            <w:noWrap/>
            <w:vAlign w:val="center"/>
          </w:tcPr>
          <w:p>
            <w:pPr>
              <w:ind w:right="72" w:rightChars="0"/>
              <w:jc w:val="center"/>
              <w:rPr>
                <w:rFonts w:hint="eastAsia" w:ascii="宋体" w:hAnsi="宋体" w:eastAsia="宋体" w:cs="宋体"/>
                <w:i w:val="0"/>
                <w:iCs w:val="0"/>
                <w:color w:val="000000"/>
                <w:sz w:val="22"/>
                <w:szCs w:val="22"/>
                <w:highlight w:val="none"/>
                <w:u w:val="none"/>
              </w:rPr>
            </w:pPr>
          </w:p>
        </w:tc>
      </w:tr>
      <w:tr>
        <w:tblPrEx>
          <w:tblCellMar>
            <w:top w:w="0" w:type="dxa"/>
            <w:left w:w="108" w:type="dxa"/>
            <w:bottom w:w="0" w:type="dxa"/>
            <w:right w:w="108" w:type="dxa"/>
          </w:tblCellMar>
        </w:tblPrEx>
        <w:trPr>
          <w:trHeight w:val="288" w:hRule="atLeast"/>
        </w:trPr>
        <w:tc>
          <w:tcPr>
            <w:tcW w:w="6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2</w:t>
            </w:r>
          </w:p>
        </w:tc>
        <w:tc>
          <w:tcPr>
            <w:tcW w:w="181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ind w:right="-82" w:rightChars="-34"/>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扶梯各层周边的土建回填、装饰修口</w:t>
            </w:r>
          </w:p>
        </w:tc>
        <w:tc>
          <w:tcPr>
            <w:tcW w:w="357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ind w:right="0" w:rightChars="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保持与扶梯周边装修风格的整体性</w:t>
            </w:r>
          </w:p>
        </w:tc>
        <w:tc>
          <w:tcPr>
            <w:tcW w:w="103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ind w:right="72" w:rightChars="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w:t>
            </w:r>
          </w:p>
        </w:tc>
        <w:tc>
          <w:tcPr>
            <w:tcW w:w="1164" w:type="dxa"/>
            <w:tcBorders>
              <w:top w:val="single" w:color="000000" w:sz="4" w:space="0"/>
              <w:left w:val="single" w:color="000000" w:sz="4" w:space="0"/>
              <w:bottom w:val="single" w:color="000000" w:sz="4" w:space="0"/>
              <w:right w:val="single" w:color="000000" w:sz="4" w:space="0"/>
            </w:tcBorders>
            <w:noWrap/>
            <w:vAlign w:val="center"/>
          </w:tcPr>
          <w:p>
            <w:pPr>
              <w:ind w:right="72" w:rightChars="0"/>
              <w:jc w:val="center"/>
              <w:rPr>
                <w:rFonts w:hint="eastAsia" w:ascii="宋体" w:hAnsi="宋体" w:eastAsia="宋体" w:cs="宋体"/>
                <w:i w:val="0"/>
                <w:iCs w:val="0"/>
                <w:color w:val="000000"/>
                <w:sz w:val="22"/>
                <w:szCs w:val="22"/>
                <w:highlight w:val="none"/>
                <w:u w:val="none"/>
              </w:rPr>
            </w:pPr>
          </w:p>
        </w:tc>
        <w:tc>
          <w:tcPr>
            <w:tcW w:w="972" w:type="dxa"/>
            <w:tcBorders>
              <w:top w:val="single" w:color="000000" w:sz="4" w:space="0"/>
              <w:left w:val="single" w:color="000000" w:sz="4" w:space="0"/>
              <w:bottom w:val="single" w:color="000000" w:sz="4" w:space="0"/>
              <w:right w:val="single" w:color="000000" w:sz="4" w:space="0"/>
            </w:tcBorders>
            <w:noWrap/>
            <w:vAlign w:val="center"/>
          </w:tcPr>
          <w:p>
            <w:pPr>
              <w:ind w:right="72" w:rightChars="0"/>
              <w:jc w:val="center"/>
              <w:rPr>
                <w:rFonts w:hint="eastAsia" w:ascii="宋体" w:hAnsi="宋体" w:eastAsia="宋体" w:cs="宋体"/>
                <w:i w:val="0"/>
                <w:iCs w:val="0"/>
                <w:color w:val="000000"/>
                <w:sz w:val="22"/>
                <w:szCs w:val="22"/>
                <w:highlight w:val="none"/>
                <w:u w:val="none"/>
              </w:rPr>
            </w:pPr>
          </w:p>
        </w:tc>
      </w:tr>
      <w:tr>
        <w:tblPrEx>
          <w:tblCellMar>
            <w:top w:w="0" w:type="dxa"/>
            <w:left w:w="108" w:type="dxa"/>
            <w:bottom w:w="0" w:type="dxa"/>
            <w:right w:w="108" w:type="dxa"/>
          </w:tblCellMar>
        </w:tblPrEx>
        <w:trPr>
          <w:trHeight w:val="576" w:hRule="atLeast"/>
        </w:trPr>
        <w:tc>
          <w:tcPr>
            <w:tcW w:w="6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3</w:t>
            </w:r>
          </w:p>
        </w:tc>
        <w:tc>
          <w:tcPr>
            <w:tcW w:w="181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ind w:right="-82" w:rightChars="-34"/>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扶梯周边装饰及管线</w:t>
            </w:r>
          </w:p>
        </w:tc>
        <w:tc>
          <w:tcPr>
            <w:tcW w:w="357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ind w:right="0" w:rightChars="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扶梯下方三边的包底天花、侧面包板、照明、烟感 、喷淋等</w:t>
            </w:r>
          </w:p>
        </w:tc>
        <w:tc>
          <w:tcPr>
            <w:tcW w:w="103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ind w:right="72" w:rightChars="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w:t>
            </w:r>
          </w:p>
        </w:tc>
        <w:tc>
          <w:tcPr>
            <w:tcW w:w="1164" w:type="dxa"/>
            <w:tcBorders>
              <w:top w:val="single" w:color="000000" w:sz="4" w:space="0"/>
              <w:left w:val="single" w:color="000000" w:sz="4" w:space="0"/>
              <w:bottom w:val="single" w:color="000000" w:sz="4" w:space="0"/>
              <w:right w:val="single" w:color="000000" w:sz="4" w:space="0"/>
            </w:tcBorders>
            <w:noWrap/>
            <w:vAlign w:val="center"/>
          </w:tcPr>
          <w:p>
            <w:pPr>
              <w:ind w:right="72" w:rightChars="0"/>
              <w:jc w:val="center"/>
              <w:rPr>
                <w:rFonts w:hint="eastAsia" w:ascii="宋体" w:hAnsi="宋体" w:eastAsia="宋体" w:cs="宋体"/>
                <w:i w:val="0"/>
                <w:iCs w:val="0"/>
                <w:color w:val="000000"/>
                <w:sz w:val="22"/>
                <w:szCs w:val="22"/>
                <w:highlight w:val="none"/>
                <w:u w:val="none"/>
              </w:rPr>
            </w:pPr>
          </w:p>
        </w:tc>
        <w:tc>
          <w:tcPr>
            <w:tcW w:w="972" w:type="dxa"/>
            <w:tcBorders>
              <w:top w:val="single" w:color="000000" w:sz="4" w:space="0"/>
              <w:left w:val="single" w:color="000000" w:sz="4" w:space="0"/>
              <w:bottom w:val="single" w:color="000000" w:sz="4" w:space="0"/>
              <w:right w:val="single" w:color="000000" w:sz="4" w:space="0"/>
            </w:tcBorders>
            <w:noWrap/>
            <w:vAlign w:val="center"/>
          </w:tcPr>
          <w:p>
            <w:pPr>
              <w:ind w:right="72" w:rightChars="0"/>
              <w:jc w:val="center"/>
              <w:rPr>
                <w:rFonts w:hint="eastAsia" w:ascii="宋体" w:hAnsi="宋体" w:eastAsia="宋体" w:cs="宋体"/>
                <w:i w:val="0"/>
                <w:iCs w:val="0"/>
                <w:color w:val="000000"/>
                <w:sz w:val="22"/>
                <w:szCs w:val="22"/>
                <w:highlight w:val="none"/>
                <w:u w:val="none"/>
              </w:rPr>
            </w:pPr>
          </w:p>
        </w:tc>
      </w:tr>
      <w:tr>
        <w:tblPrEx>
          <w:tblCellMar>
            <w:top w:w="0" w:type="dxa"/>
            <w:left w:w="108" w:type="dxa"/>
            <w:bottom w:w="0" w:type="dxa"/>
            <w:right w:w="108" w:type="dxa"/>
          </w:tblCellMar>
        </w:tblPrEx>
        <w:trPr>
          <w:trHeight w:val="1440" w:hRule="atLeast"/>
        </w:trPr>
        <w:tc>
          <w:tcPr>
            <w:tcW w:w="6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4</w:t>
            </w:r>
          </w:p>
        </w:tc>
        <w:tc>
          <w:tcPr>
            <w:tcW w:w="181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ind w:right="-82" w:rightChars="-34"/>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电梯弱电系统</w:t>
            </w:r>
          </w:p>
        </w:tc>
        <w:tc>
          <w:tcPr>
            <w:tcW w:w="357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ind w:right="0" w:rightChars="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负责各电梯机房到监控（消防）中心或层间弱电线路敷设，电梯弱电系统包括含有电梯的五方对讲系统、电脑式监视系统、视频监控系统、消防反馈、迫降系统等。特别说明：其中的五方对讲系统线路需附属到门诊楼T层电梯维保值班室</w:t>
            </w:r>
          </w:p>
        </w:tc>
        <w:tc>
          <w:tcPr>
            <w:tcW w:w="1032" w:type="dxa"/>
            <w:tcBorders>
              <w:top w:val="single" w:color="000000" w:sz="4" w:space="0"/>
              <w:left w:val="single" w:color="000000" w:sz="4" w:space="0"/>
              <w:bottom w:val="single" w:color="000000" w:sz="4" w:space="0"/>
              <w:right w:val="single" w:color="000000" w:sz="4" w:space="0"/>
            </w:tcBorders>
            <w:noWrap/>
            <w:vAlign w:val="center"/>
          </w:tcPr>
          <w:p>
            <w:pPr>
              <w:ind w:right="72" w:rightChars="0"/>
              <w:jc w:val="center"/>
              <w:rPr>
                <w:rFonts w:hint="eastAsia" w:ascii="宋体" w:hAnsi="宋体" w:eastAsia="宋体" w:cs="宋体"/>
                <w:i w:val="0"/>
                <w:iCs w:val="0"/>
                <w:color w:val="000000"/>
                <w:sz w:val="22"/>
                <w:szCs w:val="22"/>
                <w:highlight w:val="none"/>
                <w:u w:val="none"/>
              </w:rPr>
            </w:pPr>
          </w:p>
        </w:tc>
        <w:tc>
          <w:tcPr>
            <w:tcW w:w="1164"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ind w:right="72" w:rightChars="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w:t>
            </w:r>
          </w:p>
        </w:tc>
        <w:tc>
          <w:tcPr>
            <w:tcW w:w="972" w:type="dxa"/>
            <w:tcBorders>
              <w:top w:val="single" w:color="000000" w:sz="4" w:space="0"/>
              <w:left w:val="single" w:color="000000" w:sz="4" w:space="0"/>
              <w:bottom w:val="single" w:color="000000" w:sz="4" w:space="0"/>
              <w:right w:val="single" w:color="000000" w:sz="4" w:space="0"/>
            </w:tcBorders>
            <w:noWrap/>
            <w:vAlign w:val="center"/>
          </w:tcPr>
          <w:p>
            <w:pPr>
              <w:ind w:right="72" w:rightChars="0"/>
              <w:jc w:val="center"/>
              <w:rPr>
                <w:rFonts w:hint="eastAsia" w:ascii="宋体" w:hAnsi="宋体" w:eastAsia="宋体" w:cs="宋体"/>
                <w:i w:val="0"/>
                <w:iCs w:val="0"/>
                <w:color w:val="000000"/>
                <w:sz w:val="22"/>
                <w:szCs w:val="22"/>
                <w:highlight w:val="none"/>
                <w:u w:val="none"/>
              </w:rPr>
            </w:pPr>
          </w:p>
        </w:tc>
      </w:tr>
      <w:tr>
        <w:tblPrEx>
          <w:tblCellMar>
            <w:top w:w="0" w:type="dxa"/>
            <w:left w:w="108" w:type="dxa"/>
            <w:bottom w:w="0" w:type="dxa"/>
            <w:right w:w="108" w:type="dxa"/>
          </w:tblCellMar>
        </w:tblPrEx>
        <w:trPr>
          <w:trHeight w:val="576" w:hRule="atLeast"/>
        </w:trPr>
        <w:tc>
          <w:tcPr>
            <w:tcW w:w="6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5</w:t>
            </w:r>
          </w:p>
        </w:tc>
        <w:tc>
          <w:tcPr>
            <w:tcW w:w="181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ind w:right="-82" w:rightChars="-34"/>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扶梯弱电系统</w:t>
            </w:r>
          </w:p>
        </w:tc>
        <w:tc>
          <w:tcPr>
            <w:tcW w:w="357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ind w:right="0" w:rightChars="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负责各扶梯上梯头到监控（消防）中心的弱电线路敷设，扶梯弱电系统包含有电脑式监视系统</w:t>
            </w:r>
          </w:p>
        </w:tc>
        <w:tc>
          <w:tcPr>
            <w:tcW w:w="1032" w:type="dxa"/>
            <w:tcBorders>
              <w:top w:val="single" w:color="000000" w:sz="4" w:space="0"/>
              <w:left w:val="single" w:color="000000" w:sz="4" w:space="0"/>
              <w:bottom w:val="single" w:color="000000" w:sz="4" w:space="0"/>
              <w:right w:val="single" w:color="000000" w:sz="4" w:space="0"/>
            </w:tcBorders>
            <w:noWrap/>
            <w:vAlign w:val="center"/>
          </w:tcPr>
          <w:p>
            <w:pPr>
              <w:ind w:right="72" w:rightChars="0"/>
              <w:jc w:val="center"/>
              <w:rPr>
                <w:rFonts w:hint="eastAsia" w:ascii="宋体" w:hAnsi="宋体" w:eastAsia="宋体" w:cs="宋体"/>
                <w:i w:val="0"/>
                <w:iCs w:val="0"/>
                <w:color w:val="000000"/>
                <w:sz w:val="22"/>
                <w:szCs w:val="22"/>
                <w:highlight w:val="none"/>
                <w:u w:val="none"/>
              </w:rPr>
            </w:pPr>
          </w:p>
        </w:tc>
        <w:tc>
          <w:tcPr>
            <w:tcW w:w="1164"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ind w:right="72" w:rightChars="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w:t>
            </w:r>
          </w:p>
        </w:tc>
        <w:tc>
          <w:tcPr>
            <w:tcW w:w="972" w:type="dxa"/>
            <w:tcBorders>
              <w:top w:val="single" w:color="000000" w:sz="4" w:space="0"/>
              <w:left w:val="single" w:color="000000" w:sz="4" w:space="0"/>
              <w:bottom w:val="single" w:color="000000" w:sz="4" w:space="0"/>
              <w:right w:val="single" w:color="000000" w:sz="4" w:space="0"/>
            </w:tcBorders>
            <w:noWrap/>
            <w:vAlign w:val="center"/>
          </w:tcPr>
          <w:p>
            <w:pPr>
              <w:ind w:right="72" w:rightChars="0"/>
              <w:jc w:val="center"/>
              <w:rPr>
                <w:rFonts w:hint="eastAsia" w:ascii="宋体" w:hAnsi="宋体" w:eastAsia="宋体" w:cs="宋体"/>
                <w:i w:val="0"/>
                <w:iCs w:val="0"/>
                <w:color w:val="000000"/>
                <w:sz w:val="22"/>
                <w:szCs w:val="22"/>
                <w:highlight w:val="none"/>
                <w:u w:val="none"/>
              </w:rPr>
            </w:pPr>
          </w:p>
        </w:tc>
      </w:tr>
      <w:tr>
        <w:tblPrEx>
          <w:tblCellMar>
            <w:top w:w="0" w:type="dxa"/>
            <w:left w:w="108" w:type="dxa"/>
            <w:bottom w:w="0" w:type="dxa"/>
            <w:right w:w="108" w:type="dxa"/>
          </w:tblCellMar>
        </w:tblPrEx>
        <w:trPr>
          <w:trHeight w:val="288" w:hRule="atLeast"/>
        </w:trPr>
        <w:tc>
          <w:tcPr>
            <w:tcW w:w="6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6</w:t>
            </w:r>
          </w:p>
        </w:tc>
        <w:tc>
          <w:tcPr>
            <w:tcW w:w="181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ind w:right="-82" w:rightChars="-34"/>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电梯的设备安装调试</w:t>
            </w:r>
          </w:p>
        </w:tc>
        <w:tc>
          <w:tcPr>
            <w:tcW w:w="357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ind w:right="0" w:rightChars="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详见业主的技术需求书</w:t>
            </w:r>
          </w:p>
        </w:tc>
        <w:tc>
          <w:tcPr>
            <w:tcW w:w="1032" w:type="dxa"/>
            <w:tcBorders>
              <w:top w:val="single" w:color="000000" w:sz="4" w:space="0"/>
              <w:left w:val="single" w:color="000000" w:sz="4" w:space="0"/>
              <w:bottom w:val="single" w:color="000000" w:sz="4" w:space="0"/>
              <w:right w:val="single" w:color="000000" w:sz="4" w:space="0"/>
            </w:tcBorders>
            <w:noWrap/>
            <w:vAlign w:val="center"/>
          </w:tcPr>
          <w:p>
            <w:pPr>
              <w:ind w:right="72" w:rightChars="0"/>
              <w:jc w:val="center"/>
              <w:rPr>
                <w:rFonts w:hint="eastAsia" w:ascii="宋体" w:hAnsi="宋体" w:eastAsia="宋体" w:cs="宋体"/>
                <w:i w:val="0"/>
                <w:iCs w:val="0"/>
                <w:color w:val="000000"/>
                <w:sz w:val="22"/>
                <w:szCs w:val="22"/>
                <w:highlight w:val="none"/>
                <w:u w:val="none"/>
              </w:rPr>
            </w:pPr>
          </w:p>
        </w:tc>
        <w:tc>
          <w:tcPr>
            <w:tcW w:w="1164" w:type="dxa"/>
            <w:tcBorders>
              <w:top w:val="single" w:color="000000" w:sz="4" w:space="0"/>
              <w:left w:val="single" w:color="000000" w:sz="4" w:space="0"/>
              <w:bottom w:val="single" w:color="000000" w:sz="4" w:space="0"/>
              <w:right w:val="single" w:color="000000" w:sz="4" w:space="0"/>
            </w:tcBorders>
            <w:noWrap/>
            <w:vAlign w:val="center"/>
          </w:tcPr>
          <w:p>
            <w:pPr>
              <w:ind w:right="72" w:rightChars="0"/>
              <w:jc w:val="center"/>
              <w:rPr>
                <w:rFonts w:hint="eastAsia" w:ascii="宋体" w:hAnsi="宋体" w:eastAsia="宋体" w:cs="宋体"/>
                <w:i w:val="0"/>
                <w:iCs w:val="0"/>
                <w:color w:val="000000"/>
                <w:sz w:val="22"/>
                <w:szCs w:val="22"/>
                <w:highlight w:val="none"/>
                <w:u w:val="none"/>
              </w:rPr>
            </w:pPr>
          </w:p>
        </w:tc>
        <w:tc>
          <w:tcPr>
            <w:tcW w:w="97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ind w:right="72" w:rightChars="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w:t>
            </w:r>
          </w:p>
        </w:tc>
      </w:tr>
      <w:tr>
        <w:tblPrEx>
          <w:tblCellMar>
            <w:top w:w="0" w:type="dxa"/>
            <w:left w:w="108" w:type="dxa"/>
            <w:bottom w:w="0" w:type="dxa"/>
            <w:right w:w="108" w:type="dxa"/>
          </w:tblCellMar>
        </w:tblPrEx>
        <w:trPr>
          <w:trHeight w:val="288" w:hRule="atLeast"/>
        </w:trPr>
        <w:tc>
          <w:tcPr>
            <w:tcW w:w="6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7</w:t>
            </w:r>
          </w:p>
        </w:tc>
        <w:tc>
          <w:tcPr>
            <w:tcW w:w="181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ind w:right="-82" w:rightChars="-34"/>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扶梯的设备安装调试</w:t>
            </w:r>
          </w:p>
        </w:tc>
        <w:tc>
          <w:tcPr>
            <w:tcW w:w="357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ind w:right="0" w:rightChars="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详见业主的技术需求书</w:t>
            </w:r>
          </w:p>
        </w:tc>
        <w:tc>
          <w:tcPr>
            <w:tcW w:w="1032" w:type="dxa"/>
            <w:tcBorders>
              <w:top w:val="single" w:color="000000" w:sz="4" w:space="0"/>
              <w:left w:val="single" w:color="000000" w:sz="4" w:space="0"/>
              <w:bottom w:val="single" w:color="000000" w:sz="4" w:space="0"/>
              <w:right w:val="single" w:color="000000" w:sz="4" w:space="0"/>
            </w:tcBorders>
            <w:noWrap/>
            <w:vAlign w:val="center"/>
          </w:tcPr>
          <w:p>
            <w:pPr>
              <w:ind w:right="72" w:rightChars="0"/>
              <w:jc w:val="center"/>
              <w:rPr>
                <w:rFonts w:hint="eastAsia" w:ascii="宋体" w:hAnsi="宋体" w:eastAsia="宋体" w:cs="宋体"/>
                <w:i w:val="0"/>
                <w:iCs w:val="0"/>
                <w:color w:val="000000"/>
                <w:sz w:val="22"/>
                <w:szCs w:val="22"/>
                <w:highlight w:val="none"/>
                <w:u w:val="none"/>
              </w:rPr>
            </w:pPr>
          </w:p>
        </w:tc>
        <w:tc>
          <w:tcPr>
            <w:tcW w:w="1164" w:type="dxa"/>
            <w:tcBorders>
              <w:top w:val="single" w:color="000000" w:sz="4" w:space="0"/>
              <w:left w:val="single" w:color="000000" w:sz="4" w:space="0"/>
              <w:bottom w:val="single" w:color="000000" w:sz="4" w:space="0"/>
              <w:right w:val="single" w:color="000000" w:sz="4" w:space="0"/>
            </w:tcBorders>
            <w:noWrap/>
            <w:vAlign w:val="center"/>
          </w:tcPr>
          <w:p>
            <w:pPr>
              <w:ind w:right="72" w:rightChars="0"/>
              <w:jc w:val="center"/>
              <w:rPr>
                <w:rFonts w:hint="eastAsia" w:ascii="宋体" w:hAnsi="宋体" w:eastAsia="宋体" w:cs="宋体"/>
                <w:i w:val="0"/>
                <w:iCs w:val="0"/>
                <w:color w:val="000000"/>
                <w:sz w:val="22"/>
                <w:szCs w:val="22"/>
                <w:highlight w:val="none"/>
                <w:u w:val="none"/>
              </w:rPr>
            </w:pPr>
          </w:p>
        </w:tc>
        <w:tc>
          <w:tcPr>
            <w:tcW w:w="97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ind w:right="72" w:rightChars="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w:t>
            </w:r>
          </w:p>
        </w:tc>
      </w:tr>
      <w:tr>
        <w:tblPrEx>
          <w:tblCellMar>
            <w:top w:w="0" w:type="dxa"/>
            <w:left w:w="108" w:type="dxa"/>
            <w:bottom w:w="0" w:type="dxa"/>
            <w:right w:w="108" w:type="dxa"/>
          </w:tblCellMar>
        </w:tblPrEx>
        <w:trPr>
          <w:trHeight w:val="576" w:hRule="atLeast"/>
        </w:trPr>
        <w:tc>
          <w:tcPr>
            <w:tcW w:w="6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8</w:t>
            </w:r>
          </w:p>
        </w:tc>
        <w:tc>
          <w:tcPr>
            <w:tcW w:w="181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ind w:right="-82" w:rightChars="-34"/>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电梯轿厢的内饰</w:t>
            </w:r>
          </w:p>
        </w:tc>
        <w:tc>
          <w:tcPr>
            <w:tcW w:w="357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ind w:right="0" w:rightChars="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包含轿厢的空调、天花、地板等，详见业主的技术需求书</w:t>
            </w:r>
          </w:p>
        </w:tc>
        <w:tc>
          <w:tcPr>
            <w:tcW w:w="1032" w:type="dxa"/>
            <w:tcBorders>
              <w:top w:val="single" w:color="000000" w:sz="4" w:space="0"/>
              <w:left w:val="single" w:color="000000" w:sz="4" w:space="0"/>
              <w:bottom w:val="single" w:color="000000" w:sz="4" w:space="0"/>
              <w:right w:val="single" w:color="000000" w:sz="4" w:space="0"/>
            </w:tcBorders>
            <w:noWrap/>
            <w:vAlign w:val="center"/>
          </w:tcPr>
          <w:p>
            <w:pPr>
              <w:ind w:right="72" w:rightChars="0"/>
              <w:jc w:val="center"/>
              <w:rPr>
                <w:rFonts w:hint="eastAsia" w:ascii="宋体" w:hAnsi="宋体" w:eastAsia="宋体" w:cs="宋体"/>
                <w:i w:val="0"/>
                <w:iCs w:val="0"/>
                <w:color w:val="000000"/>
                <w:sz w:val="22"/>
                <w:szCs w:val="22"/>
                <w:highlight w:val="none"/>
                <w:u w:val="none"/>
              </w:rPr>
            </w:pPr>
          </w:p>
        </w:tc>
        <w:tc>
          <w:tcPr>
            <w:tcW w:w="1164" w:type="dxa"/>
            <w:tcBorders>
              <w:top w:val="single" w:color="000000" w:sz="4" w:space="0"/>
              <w:left w:val="single" w:color="000000" w:sz="4" w:space="0"/>
              <w:bottom w:val="single" w:color="000000" w:sz="4" w:space="0"/>
              <w:right w:val="single" w:color="000000" w:sz="4" w:space="0"/>
            </w:tcBorders>
            <w:noWrap/>
            <w:vAlign w:val="center"/>
          </w:tcPr>
          <w:p>
            <w:pPr>
              <w:ind w:right="72" w:rightChars="0"/>
              <w:jc w:val="center"/>
              <w:rPr>
                <w:rFonts w:hint="eastAsia" w:ascii="宋体" w:hAnsi="宋体" w:eastAsia="宋体" w:cs="宋体"/>
                <w:i w:val="0"/>
                <w:iCs w:val="0"/>
                <w:color w:val="000000"/>
                <w:sz w:val="22"/>
                <w:szCs w:val="22"/>
                <w:highlight w:val="none"/>
                <w:u w:val="none"/>
              </w:rPr>
            </w:pPr>
          </w:p>
        </w:tc>
        <w:tc>
          <w:tcPr>
            <w:tcW w:w="97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ind w:right="72" w:rightChars="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w:t>
            </w:r>
          </w:p>
        </w:tc>
      </w:tr>
    </w:tbl>
    <w:p>
      <w:pPr>
        <w:rPr>
          <w:rFonts w:hint="eastAsia" w:ascii="宋体" w:hAnsi="宋体" w:eastAsia="宋体" w:cs="宋体"/>
          <w:highlight w:val="none"/>
        </w:rPr>
        <w:sectPr>
          <w:pgSz w:w="11909" w:h="16834"/>
          <w:pgMar w:top="1452" w:right="1198" w:bottom="1675" w:left="835" w:header="728" w:footer="719" w:gutter="0"/>
          <w:pgNumType w:start="1"/>
          <w:cols w:space="720" w:num="1"/>
        </w:sectPr>
      </w:pPr>
    </w:p>
    <w:p>
      <w:pPr>
        <w:spacing w:after="0" w:line="259" w:lineRule="auto"/>
        <w:ind w:right="0"/>
        <w:rPr>
          <w:rFonts w:hint="eastAsia" w:ascii="宋体" w:hAnsi="宋体" w:eastAsia="宋体" w:cs="宋体"/>
          <w:highlight w:val="none"/>
        </w:rPr>
      </w:pPr>
      <w:bookmarkStart w:id="7" w:name="_Toc19801"/>
      <w:r>
        <w:rPr>
          <w:rStyle w:val="12"/>
          <w:rFonts w:hint="eastAsia" w:ascii="宋体" w:hAnsi="宋体" w:eastAsia="宋体" w:cs="宋体"/>
          <w:b/>
          <w:bCs/>
          <w:highlight w:val="none"/>
          <w:lang w:val="en-US" w:eastAsia="zh-CN"/>
        </w:rPr>
        <w:t>附件二 工程界面图</w:t>
      </w:r>
      <w:bookmarkEnd w:id="7"/>
      <w:r>
        <w:rPr>
          <w:rFonts w:hint="eastAsia" w:ascii="宋体" w:hAnsi="宋体" w:eastAsia="宋体" w:cs="宋体"/>
          <w:highlight w:val="none"/>
        </w:rPr>
        <w:drawing>
          <wp:inline distT="0" distB="0" distL="0" distR="0">
            <wp:extent cx="9276715" cy="6543675"/>
            <wp:effectExtent l="0" t="0" r="635" b="952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24"/>
                    <a:stretch>
                      <a:fillRect/>
                    </a:stretch>
                  </pic:blipFill>
                  <pic:spPr>
                    <a:xfrm>
                      <a:off x="0" y="0"/>
                      <a:ext cx="9303721" cy="6562587"/>
                    </a:xfrm>
                    <a:prstGeom prst="rect">
                      <a:avLst/>
                    </a:prstGeom>
                  </pic:spPr>
                </pic:pic>
              </a:graphicData>
            </a:graphic>
          </wp:inline>
        </w:drawing>
      </w:r>
    </w:p>
    <w:p>
      <w:pPr>
        <w:spacing w:after="0" w:line="259" w:lineRule="auto"/>
        <w:ind w:left="0" w:right="-29" w:firstLine="0"/>
        <w:jc w:val="center"/>
        <w:rPr>
          <w:rFonts w:hint="eastAsia" w:ascii="宋体" w:hAnsi="宋体" w:eastAsia="宋体" w:cs="宋体"/>
          <w:highlight w:val="none"/>
        </w:rPr>
      </w:pPr>
    </w:p>
    <w:p>
      <w:pPr>
        <w:spacing w:after="0" w:line="259" w:lineRule="auto"/>
        <w:ind w:left="0" w:right="-29" w:firstLine="0"/>
        <w:jc w:val="center"/>
        <w:rPr>
          <w:rFonts w:hint="eastAsia" w:ascii="宋体" w:hAnsi="宋体" w:eastAsia="宋体" w:cs="宋体"/>
          <w:highlight w:val="none"/>
        </w:rPr>
      </w:pPr>
      <w:r>
        <w:rPr>
          <w:rFonts w:hint="eastAsia" w:ascii="宋体" w:hAnsi="宋体" w:eastAsia="宋体" w:cs="宋体"/>
          <w:highlight w:val="none"/>
        </w:rPr>
        <w:drawing>
          <wp:inline distT="0" distB="0" distL="0" distR="0">
            <wp:extent cx="9253220" cy="6520180"/>
            <wp:effectExtent l="0" t="0" r="508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pic:cNvPicPr>
                      <a:picLocks noChangeAspect="1"/>
                    </pic:cNvPicPr>
                  </pic:nvPicPr>
                  <pic:blipFill>
                    <a:blip r:embed="rId25"/>
                    <a:stretch>
                      <a:fillRect/>
                    </a:stretch>
                  </pic:blipFill>
                  <pic:spPr>
                    <a:xfrm>
                      <a:off x="0" y="0"/>
                      <a:ext cx="9253220" cy="6520180"/>
                    </a:xfrm>
                    <a:prstGeom prst="rect">
                      <a:avLst/>
                    </a:prstGeom>
                  </pic:spPr>
                </pic:pic>
              </a:graphicData>
            </a:graphic>
          </wp:inline>
        </w:drawing>
      </w:r>
      <w:r>
        <w:rPr>
          <w:rFonts w:hint="eastAsia" w:ascii="宋体" w:hAnsi="宋体" w:eastAsia="宋体" w:cs="宋体"/>
          <w:highlight w:val="none"/>
        </w:rPr>
        <w:t xml:space="preserve"> </w:t>
      </w:r>
    </w:p>
    <w:p>
      <w:pPr>
        <w:spacing w:after="0" w:line="259" w:lineRule="auto"/>
        <w:ind w:left="0" w:right="-29" w:firstLine="0"/>
        <w:jc w:val="center"/>
        <w:rPr>
          <w:rFonts w:hint="eastAsia" w:ascii="宋体" w:hAnsi="宋体" w:eastAsia="宋体" w:cs="宋体"/>
          <w:highlight w:val="none"/>
        </w:rPr>
      </w:pPr>
      <w:r>
        <w:rPr>
          <w:rFonts w:hint="eastAsia" w:ascii="宋体" w:hAnsi="宋体" w:eastAsia="宋体" w:cs="宋体"/>
          <w:highlight w:val="none"/>
        </w:rPr>
        <w:drawing>
          <wp:inline distT="0" distB="0" distL="0" distR="0">
            <wp:extent cx="9253220" cy="6513195"/>
            <wp:effectExtent l="0" t="0" r="5080" b="1905"/>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pic:cNvPicPr>
                      <a:picLocks noChangeAspect="1"/>
                    </pic:cNvPicPr>
                  </pic:nvPicPr>
                  <pic:blipFill>
                    <a:blip r:embed="rId26"/>
                    <a:stretch>
                      <a:fillRect/>
                    </a:stretch>
                  </pic:blipFill>
                  <pic:spPr>
                    <a:xfrm>
                      <a:off x="0" y="0"/>
                      <a:ext cx="9253220" cy="6513195"/>
                    </a:xfrm>
                    <a:prstGeom prst="rect">
                      <a:avLst/>
                    </a:prstGeom>
                  </pic:spPr>
                </pic:pic>
              </a:graphicData>
            </a:graphic>
          </wp:inline>
        </w:drawing>
      </w:r>
    </w:p>
    <w:p>
      <w:pPr>
        <w:spacing w:after="0" w:line="259" w:lineRule="auto"/>
        <w:ind w:left="0" w:right="-29" w:firstLine="0"/>
        <w:jc w:val="center"/>
        <w:rPr>
          <w:rFonts w:hint="eastAsia" w:ascii="宋体" w:hAnsi="宋体" w:eastAsia="宋体" w:cs="宋体"/>
          <w:highlight w:val="none"/>
        </w:rPr>
      </w:pPr>
    </w:p>
    <w:p>
      <w:pPr>
        <w:spacing w:after="0" w:line="259" w:lineRule="auto"/>
        <w:ind w:left="0" w:right="-29" w:firstLine="0"/>
        <w:jc w:val="center"/>
        <w:rPr>
          <w:rFonts w:hint="eastAsia" w:ascii="宋体" w:hAnsi="宋体" w:eastAsia="宋体" w:cs="宋体"/>
          <w:highlight w:val="none"/>
        </w:rPr>
      </w:pPr>
    </w:p>
    <w:p>
      <w:pPr>
        <w:spacing w:after="0" w:line="259" w:lineRule="auto"/>
        <w:ind w:left="0" w:right="-29" w:firstLine="0"/>
        <w:jc w:val="center"/>
        <w:rPr>
          <w:rFonts w:hint="eastAsia" w:ascii="宋体" w:hAnsi="宋体" w:eastAsia="宋体" w:cs="宋体"/>
          <w:highlight w:val="none"/>
        </w:rPr>
      </w:pPr>
      <w:r>
        <w:rPr>
          <w:rFonts w:hint="eastAsia" w:ascii="宋体" w:hAnsi="宋体" w:eastAsia="宋体" w:cs="宋体"/>
          <w:highlight w:val="none"/>
        </w:rPr>
        <w:drawing>
          <wp:inline distT="0" distB="0" distL="0" distR="0">
            <wp:extent cx="9253220" cy="6386195"/>
            <wp:effectExtent l="0" t="0" r="508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
                    <pic:cNvPicPr>
                      <a:picLocks noChangeAspect="1"/>
                    </pic:cNvPicPr>
                  </pic:nvPicPr>
                  <pic:blipFill>
                    <a:blip r:embed="rId27"/>
                    <a:stretch>
                      <a:fillRect/>
                    </a:stretch>
                  </pic:blipFill>
                  <pic:spPr>
                    <a:xfrm>
                      <a:off x="0" y="0"/>
                      <a:ext cx="9253220" cy="6386195"/>
                    </a:xfrm>
                    <a:prstGeom prst="rect">
                      <a:avLst/>
                    </a:prstGeom>
                  </pic:spPr>
                </pic:pic>
              </a:graphicData>
            </a:graphic>
          </wp:inline>
        </w:drawing>
      </w:r>
    </w:p>
    <w:p>
      <w:pPr>
        <w:spacing w:after="0" w:line="259" w:lineRule="auto"/>
        <w:ind w:left="0" w:right="-29" w:firstLine="0"/>
        <w:jc w:val="center"/>
        <w:rPr>
          <w:rFonts w:hint="eastAsia" w:ascii="宋体" w:hAnsi="宋体" w:eastAsia="宋体" w:cs="宋体"/>
          <w:highlight w:val="none"/>
        </w:rPr>
      </w:pPr>
    </w:p>
    <w:p>
      <w:pPr>
        <w:spacing w:after="0" w:line="259" w:lineRule="auto"/>
        <w:ind w:left="0" w:right="-29" w:firstLine="0"/>
        <w:jc w:val="center"/>
        <w:rPr>
          <w:rFonts w:hint="eastAsia" w:ascii="宋体" w:hAnsi="宋体" w:eastAsia="宋体" w:cs="宋体"/>
          <w:highlight w:val="none"/>
        </w:rPr>
      </w:pPr>
    </w:p>
    <w:p>
      <w:pPr>
        <w:spacing w:after="0" w:line="259" w:lineRule="auto"/>
        <w:ind w:left="0" w:right="-29" w:firstLine="0"/>
        <w:jc w:val="center"/>
        <w:rPr>
          <w:rFonts w:hint="eastAsia" w:ascii="宋体" w:hAnsi="宋体" w:eastAsia="宋体" w:cs="宋体"/>
          <w:highlight w:val="none"/>
        </w:rPr>
      </w:pPr>
      <w:r>
        <w:rPr>
          <w:rFonts w:hint="eastAsia" w:ascii="宋体" w:hAnsi="宋体" w:eastAsia="宋体" w:cs="宋体"/>
          <w:highlight w:val="none"/>
        </w:rPr>
        <w:drawing>
          <wp:inline distT="0" distB="0" distL="0" distR="0">
            <wp:extent cx="9253220" cy="6405880"/>
            <wp:effectExtent l="0" t="0" r="508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1"/>
                    <pic:cNvPicPr>
                      <a:picLocks noChangeAspect="1"/>
                    </pic:cNvPicPr>
                  </pic:nvPicPr>
                  <pic:blipFill>
                    <a:blip r:embed="rId28"/>
                    <a:stretch>
                      <a:fillRect/>
                    </a:stretch>
                  </pic:blipFill>
                  <pic:spPr>
                    <a:xfrm>
                      <a:off x="0" y="0"/>
                      <a:ext cx="9253220" cy="6405880"/>
                    </a:xfrm>
                    <a:prstGeom prst="rect">
                      <a:avLst/>
                    </a:prstGeom>
                  </pic:spPr>
                </pic:pic>
              </a:graphicData>
            </a:graphic>
          </wp:inline>
        </w:drawing>
      </w:r>
    </w:p>
    <w:p>
      <w:pPr>
        <w:spacing w:after="0" w:line="259" w:lineRule="auto"/>
        <w:ind w:left="0" w:right="-29" w:firstLine="0"/>
        <w:jc w:val="center"/>
        <w:rPr>
          <w:rFonts w:hint="eastAsia" w:ascii="宋体" w:hAnsi="宋体" w:eastAsia="宋体" w:cs="宋体"/>
          <w:highlight w:val="none"/>
        </w:rPr>
      </w:pPr>
    </w:p>
    <w:p>
      <w:pPr>
        <w:spacing w:after="0" w:line="259" w:lineRule="auto"/>
        <w:ind w:left="0" w:right="-29" w:firstLine="0"/>
        <w:jc w:val="center"/>
        <w:rPr>
          <w:rFonts w:hint="eastAsia" w:ascii="宋体" w:hAnsi="宋体" w:eastAsia="宋体" w:cs="宋体"/>
          <w:highlight w:val="none"/>
        </w:rPr>
      </w:pPr>
    </w:p>
    <w:p>
      <w:pPr>
        <w:spacing w:after="0" w:line="259" w:lineRule="auto"/>
        <w:ind w:left="0" w:right="-29" w:firstLine="0"/>
        <w:jc w:val="center"/>
        <w:rPr>
          <w:rFonts w:hint="eastAsia" w:ascii="宋体" w:hAnsi="宋体" w:eastAsia="宋体" w:cs="宋体"/>
          <w:highlight w:val="none"/>
        </w:rPr>
      </w:pPr>
      <w:r>
        <w:rPr>
          <w:rFonts w:hint="eastAsia" w:ascii="宋体" w:hAnsi="宋体" w:eastAsia="宋体" w:cs="宋体"/>
          <w:highlight w:val="none"/>
        </w:rPr>
        <w:drawing>
          <wp:inline distT="0" distB="0" distL="0" distR="0">
            <wp:extent cx="9253220" cy="6400165"/>
            <wp:effectExtent l="0" t="0" r="5080" b="635"/>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pic:cNvPicPr>
                      <a:picLocks noChangeAspect="1"/>
                    </pic:cNvPicPr>
                  </pic:nvPicPr>
                  <pic:blipFill>
                    <a:blip r:embed="rId29"/>
                    <a:stretch>
                      <a:fillRect/>
                    </a:stretch>
                  </pic:blipFill>
                  <pic:spPr>
                    <a:xfrm>
                      <a:off x="0" y="0"/>
                      <a:ext cx="9253220" cy="6400165"/>
                    </a:xfrm>
                    <a:prstGeom prst="rect">
                      <a:avLst/>
                    </a:prstGeom>
                  </pic:spPr>
                </pic:pic>
              </a:graphicData>
            </a:graphic>
          </wp:inline>
        </w:drawing>
      </w:r>
    </w:p>
    <w:p>
      <w:pPr>
        <w:ind w:left="0" w:leftChars="0" w:firstLine="0" w:firstLineChars="0"/>
        <w:rPr>
          <w:rFonts w:hint="eastAsia" w:ascii="宋体" w:hAnsi="宋体" w:eastAsia="宋体" w:cs="宋体"/>
          <w:highlight w:val="none"/>
        </w:rPr>
      </w:pPr>
    </w:p>
    <w:sectPr>
      <w:headerReference r:id="rId19" w:type="first"/>
      <w:footerReference r:id="rId22" w:type="first"/>
      <w:headerReference r:id="rId17" w:type="default"/>
      <w:footerReference r:id="rId20" w:type="default"/>
      <w:headerReference r:id="rId18" w:type="even"/>
      <w:footerReference r:id="rId21" w:type="even"/>
      <w:pgSz w:w="16840" w:h="11904" w:orient="landscape"/>
      <w:pgMar w:top="284" w:right="1134" w:bottom="284" w:left="1134" w:header="0" w:footer="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after="160" w:line="259" w:lineRule="auto"/>
      <w:ind w:left="0" w:right="0" w:firstLine="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after="160" w:line="259" w:lineRule="auto"/>
      <w:ind w:left="0" w:right="0" w:firstLine="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after="160" w:line="259" w:lineRule="auto"/>
      <w:ind w:left="0" w:right="0" w:firstLine="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after="0" w:line="262" w:lineRule="auto"/>
      <w:ind w:left="0" w:right="45" w:firstLine="360" w:firstLineChars="200"/>
      <w:rPr>
        <w:rFonts w:ascii="Times New Roman" w:hAnsi="Times New Roman" w:eastAsia="Times New Roman" w:cs="Times New Roman"/>
        <w:sz w:val="18"/>
      </w:rPr>
    </w:pPr>
    <w:r>
      <w:rPr>
        <w:sz w:val="18"/>
      </w:rPr>
      <mc:AlternateContent>
        <mc:Choice Requires="wpg">
          <w:drawing>
            <wp:anchor distT="0" distB="0" distL="114300" distR="114300" simplePos="0" relativeHeight="251663360" behindDoc="0" locked="0" layoutInCell="1" allowOverlap="1">
              <wp:simplePos x="0" y="0"/>
              <wp:positionH relativeFrom="page">
                <wp:posOffset>751205</wp:posOffset>
              </wp:positionH>
              <wp:positionV relativeFrom="page">
                <wp:posOffset>9761220</wp:posOffset>
              </wp:positionV>
              <wp:extent cx="5772150" cy="6350"/>
              <wp:effectExtent l="0" t="0" r="0" b="0"/>
              <wp:wrapSquare wrapText="bothSides"/>
              <wp:docPr id="11" name="Group 44876"/>
              <wp:cNvGraphicFramePr/>
              <a:graphic xmlns:a="http://schemas.openxmlformats.org/drawingml/2006/main">
                <a:graphicData uri="http://schemas.microsoft.com/office/word/2010/wordprocessingGroup">
                  <wpg:wgp>
                    <wpg:cNvGrpSpPr/>
                    <wpg:grpSpPr>
                      <a:xfrm>
                        <a:off x="0" y="0"/>
                        <a:ext cx="5771896" cy="6096"/>
                        <a:chOff x="0" y="0"/>
                        <a:chExt cx="5771896" cy="6096"/>
                      </a:xfrm>
                    </wpg:grpSpPr>
                    <wps:wsp>
                      <wps:cNvPr id="12" name="Shape 46679"/>
                      <wps:cNvSpPr/>
                      <wps:spPr>
                        <a:xfrm>
                          <a:off x="0" y="0"/>
                          <a:ext cx="5771896" cy="9144"/>
                        </a:xfrm>
                        <a:custGeom>
                          <a:avLst/>
                          <a:gdLst/>
                          <a:ahLst/>
                          <a:cxnLst/>
                          <a:rect l="0" t="0" r="0" b="0"/>
                          <a:pathLst>
                            <a:path w="5771896" h="9144">
                              <a:moveTo>
                                <a:pt x="0" y="0"/>
                              </a:moveTo>
                              <a:lnTo>
                                <a:pt x="5771896" y="0"/>
                              </a:lnTo>
                              <a:lnTo>
                                <a:pt x="5771896"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w:pict>
            <v:group id="Group 44876" o:spid="_x0000_s1026" o:spt="203" style="position:absolute;left:0pt;margin-left:59.15pt;margin-top:768.6pt;height:0.5pt;width:454.5pt;mso-position-horizontal-relative:page;mso-position-vertical-relative:page;mso-wrap-distance-bottom:0pt;mso-wrap-distance-left:9pt;mso-wrap-distance-right:9pt;mso-wrap-distance-top:0pt;z-index:251663360;mso-width-relative:page;mso-height-relative:page;" coordsize="5771896,6096" o:gfxdata="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">
              <o:lock v:ext="edit" aspectratio="f"/>
              <v:shape id="Shape 46679" o:spid="_x0000_s1026" o:spt="100" style="position:absolute;left:0;top:0;height:9144;width:5771896;" fillcolor="#000000" filled="t" stroked="f" coordsize="5771896,9144" o:gfxdata="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4DP0RvQAA&#10;ANsAAAAPAAAAAAAAAAEAIAAAACIAAABkcnMvZG93bnJldi54bWxQSwECFAAUAAAACACHTuJAMy8F&#10;njsAAAA5AAAAEAAAAAAAAAABACAAAAAMAQAAZHJzL3NoYXBleG1sLnhtbFBLBQYAAAAABgAGAFsB&#10;AAC2AwAAAAA=&#10;" path="m0,0l5771896,0,5771896,9144,0,9144,0,0e">
                <v:fill on="t" focussize="0,0"/>
                <v:stroke on="f" weight="0pt" miterlimit="1" joinstyle="miter"/>
                <v:imagedata o:title=""/>
                <o:lock v:ext="edit" aspectratio="f"/>
              </v:shape>
              <w10:wrap type="square"/>
            </v:group>
          </w:pict>
        </mc:Fallback>
      </mc:AlternateContent>
    </w:r>
    <w:r>
      <w:rPr>
        <w:sz w:val="18"/>
      </w:rPr>
      <w:t>智能化系统</w:t>
    </w:r>
    <w:r>
      <w:rPr>
        <w:rFonts w:ascii="Times New Roman" w:hAnsi="Times New Roman" w:eastAsia="Times New Roman" w:cs="Times New Roman"/>
        <w:sz w:val="18"/>
      </w:rPr>
      <w:t xml:space="preserve"> </w:t>
    </w:r>
    <w:r>
      <w:rPr>
        <w:rFonts w:ascii="Times New Roman" w:hAnsi="Times New Roman" w:eastAsia="Times New Roman" w:cs="Times New Roman"/>
        <w:sz w:val="18"/>
      </w:rPr>
      <w:tab/>
    </w:r>
    <w:r>
      <w:rPr>
        <w:rFonts w:ascii="Times New Roman" w:hAnsi="Times New Roman" w:eastAsia="Times New Roman" w:cs="Times New Roman"/>
        <w:sz w:val="18"/>
      </w:rPr>
      <w:tab/>
    </w:r>
    <w:r>
      <w:rPr>
        <w:rFonts w:ascii="Times New Roman" w:hAnsi="Times New Roman" w:eastAsia="Times New Roman" w:cs="Times New Roman"/>
        <w:sz w:val="18"/>
      </w:rPr>
      <w:t xml:space="preserve">                              </w:t>
    </w:r>
    <w:r>
      <w:rPr>
        <w:sz w:val="18"/>
      </w:rPr>
      <w:t xml:space="preserve">  </w:t>
    </w:r>
    <w:r>
      <w:rPr>
        <w:rFonts w:ascii="Times New Roman" w:hAnsi="Times New Roman" w:eastAsia="Times New Roman" w:cs="Times New Roman"/>
        <w:sz w:val="18"/>
      </w:rPr>
      <w:t xml:space="preserve"> </w:t>
    </w:r>
    <w:r>
      <w:rPr>
        <w:rFonts w:ascii="Times New Roman" w:hAnsi="Times New Roman" w:eastAsia="Times New Roman" w:cs="Times New Roman"/>
        <w:sz w:val="18"/>
      </w:rPr>
      <w:tab/>
    </w:r>
    <w:r>
      <w:rPr>
        <w:rFonts w:ascii="Times New Roman" w:hAnsi="Times New Roman" w:eastAsia="Times New Roman" w:cs="Times New Roman"/>
        <w:sz w:val="18"/>
      </w:rPr>
      <w:t xml:space="preserve">                              </w:t>
    </w:r>
    <w:r>
      <w:rPr>
        <w:sz w:val="18"/>
      </w:rPr>
      <w:t xml:space="preserve">           </w:t>
    </w:r>
    <w:r>
      <w:rPr>
        <w:rFonts w:ascii="Times New Roman" w:hAnsi="Times New Roman" w:eastAsia="Times New Roman" w:cs="Times New Roman"/>
        <w:sz w:val="18"/>
      </w:rPr>
      <w:t xml:space="preserve"> </w:t>
    </w:r>
    <w:r>
      <w:rPr>
        <w:rFonts w:ascii="Times New Roman" w:hAnsi="Times New Roman" w:eastAsia="Times New Roman" w:cs="Times New Roman"/>
        <w:sz w:val="18"/>
      </w:rPr>
      <w:tab/>
    </w:r>
    <w:r>
      <w:rPr>
        <w:rFonts w:ascii="Times New Roman" w:hAnsi="Times New Roman" w:eastAsia="Times New Roman" w:cs="Times New Roman"/>
        <w:sz w:val="18"/>
      </w:rPr>
      <w:t xml:space="preserve">                              </w:t>
    </w:r>
    <w:r>
      <w:rPr>
        <w:sz w:val="18"/>
      </w:rPr>
      <w:t xml:space="preserve">           第</w:t>
    </w:r>
    <w:r>
      <w:rPr>
        <w:rFonts w:hint="eastAsia"/>
        <w:sz w:val="18"/>
      </w:rPr>
      <w:t xml:space="preserve"> </w:t>
    </w:r>
    <w:r>
      <w:rPr>
        <w:sz w:val="18"/>
      </w:rPr>
      <w:fldChar w:fldCharType="begin"/>
    </w:r>
    <w:r>
      <w:rPr>
        <w:sz w:val="18"/>
      </w:rPr>
      <w:instrText xml:space="preserve"> PAGE   \* MERGEFORMAT </w:instrText>
    </w:r>
    <w:r>
      <w:rPr>
        <w:sz w:val="18"/>
      </w:rPr>
      <w:fldChar w:fldCharType="separate"/>
    </w:r>
    <w:r>
      <w:rPr>
        <w:sz w:val="18"/>
      </w:rPr>
      <w:t>2</w:t>
    </w:r>
    <w:r>
      <w:rPr>
        <w:sz w:val="18"/>
      </w:rPr>
      <w:fldChar w:fldCharType="end"/>
    </w:r>
    <w:r>
      <w:rPr>
        <w:sz w:val="18"/>
      </w:rPr>
      <w:t xml:space="preserve"> 页</w:t>
    </w:r>
  </w:p>
  <w:p>
    <w:pPr>
      <w:spacing w:after="0" w:line="262" w:lineRule="auto"/>
      <w:ind w:left="0" w:right="914" w:firstLine="360" w:firstLineChars="200"/>
    </w:pPr>
    <w:r>
      <w:rPr>
        <w:sz w:val="18"/>
      </w:rPr>
      <w:t>技术规格说明书</w:t>
    </w:r>
    <w:r>
      <w:rPr>
        <w:rFonts w:ascii="Times New Roman" w:hAnsi="Times New Roman" w:eastAsia="Times New Roman" w:cs="Times New Roman"/>
        <w:sz w:val="18"/>
      </w:rPr>
      <w:t>(</w:t>
    </w:r>
    <w:r>
      <w:rPr>
        <w:sz w:val="18"/>
      </w:rPr>
      <w:t>第</w:t>
    </w:r>
    <w:r>
      <w:rPr>
        <w:rFonts w:hint="eastAsia"/>
        <w:sz w:val="18"/>
      </w:rPr>
      <w:t>二</w:t>
    </w:r>
    <w:r>
      <w:rPr>
        <w:sz w:val="18"/>
      </w:rPr>
      <w:t>部分</w:t>
    </w:r>
    <w:r>
      <w:rPr>
        <w:rFonts w:ascii="Times New Roman" w:hAnsi="Times New Roman" w:eastAsia="Times New Roman" w:cs="Times New Roman"/>
        <w:sz w:val="18"/>
      </w:rPr>
      <w:t xml:space="preserve">)  </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after="0" w:line="262" w:lineRule="auto"/>
      <w:ind w:left="0" w:right="45" w:firstLine="360" w:firstLineChars="200"/>
      <w:rPr>
        <w:rFonts w:ascii="Times New Roman" w:hAnsi="Times New Roman" w:eastAsia="Times New Roman" w:cs="Times New Roman"/>
        <w:sz w:val="18"/>
      </w:rPr>
    </w:pPr>
    <w:r>
      <w:rPr>
        <w:sz w:val="18"/>
      </w:rPr>
      <mc:AlternateContent>
        <mc:Choice Requires="wpg">
          <w:drawing>
            <wp:anchor distT="0" distB="0" distL="114300" distR="114300" simplePos="0" relativeHeight="251662336" behindDoc="0" locked="0" layoutInCell="1" allowOverlap="1">
              <wp:simplePos x="0" y="0"/>
              <wp:positionH relativeFrom="page">
                <wp:posOffset>751205</wp:posOffset>
              </wp:positionH>
              <wp:positionV relativeFrom="page">
                <wp:posOffset>9761220</wp:posOffset>
              </wp:positionV>
              <wp:extent cx="5772150" cy="6350"/>
              <wp:effectExtent l="0" t="0" r="0" b="0"/>
              <wp:wrapSquare wrapText="bothSides"/>
              <wp:docPr id="9" name="Group 44876"/>
              <wp:cNvGraphicFramePr/>
              <a:graphic xmlns:a="http://schemas.openxmlformats.org/drawingml/2006/main">
                <a:graphicData uri="http://schemas.microsoft.com/office/word/2010/wordprocessingGroup">
                  <wpg:wgp>
                    <wpg:cNvGrpSpPr/>
                    <wpg:grpSpPr>
                      <a:xfrm>
                        <a:off x="0" y="0"/>
                        <a:ext cx="5771896" cy="6096"/>
                        <a:chOff x="0" y="0"/>
                        <a:chExt cx="5771896" cy="6096"/>
                      </a:xfrm>
                    </wpg:grpSpPr>
                    <wps:wsp>
                      <wps:cNvPr id="10" name="Shape 46679"/>
                      <wps:cNvSpPr/>
                      <wps:spPr>
                        <a:xfrm>
                          <a:off x="0" y="0"/>
                          <a:ext cx="5771896" cy="9144"/>
                        </a:xfrm>
                        <a:custGeom>
                          <a:avLst/>
                          <a:gdLst/>
                          <a:ahLst/>
                          <a:cxnLst/>
                          <a:rect l="0" t="0" r="0" b="0"/>
                          <a:pathLst>
                            <a:path w="5771896" h="9144">
                              <a:moveTo>
                                <a:pt x="0" y="0"/>
                              </a:moveTo>
                              <a:lnTo>
                                <a:pt x="5771896" y="0"/>
                              </a:lnTo>
                              <a:lnTo>
                                <a:pt x="5771896"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w:pict>
            <v:group id="Group 44876" o:spid="_x0000_s1026" o:spt="203" style="position:absolute;left:0pt;margin-left:59.15pt;margin-top:768.6pt;height:0.5pt;width:454.5pt;mso-position-horizontal-relative:page;mso-position-vertical-relative:page;mso-wrap-distance-bottom:0pt;mso-wrap-distance-left:9pt;mso-wrap-distance-right:9pt;mso-wrap-distance-top:0pt;z-index:251662336;mso-width-relative:page;mso-height-relative:page;" coordsize="5771896,6096" o:gfxdata="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">
              <o:lock v:ext="edit" aspectratio="f"/>
              <v:shape id="Shape 46679" o:spid="_x0000_s1026" o:spt="100" style="position:absolute;left:0;top:0;height:9144;width:5771896;" fillcolor="#000000" filled="t" stroked="f" coordsize="5771896,9144" o:gfxdata="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Cnksb9&#10;wAAAANsAAAAPAAAAAAAAAAEAIAAAACIAAABkcnMvZG93bnJldi54bWxQSwECFAAUAAAACACHTuJA&#10;My8FnjsAAAA5AAAAEAAAAAAAAAABACAAAAAPAQAAZHJzL3NoYXBleG1sLnhtbFBLBQYAAAAABgAG&#10;AFsBAAC5AwAAAAA=&#10;" path="m0,0l5771896,0,5771896,9144,0,9144,0,0e">
                <v:fill on="t" focussize="0,0"/>
                <v:stroke on="f" weight="0pt" miterlimit="1" joinstyle="miter"/>
                <v:imagedata o:title=""/>
                <o:lock v:ext="edit" aspectratio="f"/>
              </v:shape>
              <w10:wrap type="square"/>
            </v:group>
          </w:pict>
        </mc:Fallback>
      </mc:AlternateContent>
    </w:r>
    <w:r>
      <w:rPr>
        <w:sz w:val="18"/>
      </w:rPr>
      <w:t>智能化系统</w:t>
    </w:r>
    <w:r>
      <w:rPr>
        <w:rFonts w:ascii="Times New Roman" w:hAnsi="Times New Roman" w:eastAsia="Times New Roman" w:cs="Times New Roman"/>
        <w:sz w:val="18"/>
      </w:rPr>
      <w:t xml:space="preserve"> </w:t>
    </w:r>
    <w:r>
      <w:rPr>
        <w:rFonts w:ascii="Times New Roman" w:hAnsi="Times New Roman" w:eastAsia="Times New Roman" w:cs="Times New Roman"/>
        <w:sz w:val="18"/>
      </w:rPr>
      <w:tab/>
    </w:r>
    <w:r>
      <w:rPr>
        <w:rFonts w:ascii="Times New Roman" w:hAnsi="Times New Roman" w:eastAsia="Times New Roman" w:cs="Times New Roman"/>
        <w:sz w:val="18"/>
      </w:rPr>
      <w:tab/>
    </w:r>
    <w:r>
      <w:rPr>
        <w:rFonts w:ascii="Times New Roman" w:hAnsi="Times New Roman" w:eastAsia="Times New Roman" w:cs="Times New Roman"/>
        <w:sz w:val="18"/>
      </w:rPr>
      <w:t xml:space="preserve">                              </w:t>
    </w:r>
    <w:r>
      <w:rPr>
        <w:sz w:val="18"/>
      </w:rPr>
      <w:t xml:space="preserve">  </w:t>
    </w:r>
    <w:r>
      <w:rPr>
        <w:rFonts w:ascii="Times New Roman" w:hAnsi="Times New Roman" w:eastAsia="Times New Roman" w:cs="Times New Roman"/>
        <w:sz w:val="18"/>
      </w:rPr>
      <w:t xml:space="preserve"> </w:t>
    </w:r>
    <w:r>
      <w:rPr>
        <w:rFonts w:ascii="Times New Roman" w:hAnsi="Times New Roman" w:eastAsia="Times New Roman" w:cs="Times New Roman"/>
        <w:sz w:val="18"/>
      </w:rPr>
      <w:tab/>
    </w:r>
    <w:r>
      <w:rPr>
        <w:rFonts w:ascii="Times New Roman" w:hAnsi="Times New Roman" w:eastAsia="Times New Roman" w:cs="Times New Roman"/>
        <w:sz w:val="18"/>
      </w:rPr>
      <w:t xml:space="preserve">                              </w:t>
    </w:r>
    <w:r>
      <w:rPr>
        <w:sz w:val="18"/>
      </w:rPr>
      <w:t xml:space="preserve">           </w:t>
    </w:r>
    <w:r>
      <w:rPr>
        <w:rFonts w:ascii="Times New Roman" w:hAnsi="Times New Roman" w:eastAsia="Times New Roman" w:cs="Times New Roman"/>
        <w:sz w:val="18"/>
      </w:rPr>
      <w:t xml:space="preserve"> </w:t>
    </w:r>
    <w:r>
      <w:rPr>
        <w:rFonts w:ascii="Times New Roman" w:hAnsi="Times New Roman" w:eastAsia="Times New Roman" w:cs="Times New Roman"/>
        <w:sz w:val="18"/>
      </w:rPr>
      <w:tab/>
    </w:r>
    <w:r>
      <w:rPr>
        <w:rFonts w:ascii="Times New Roman" w:hAnsi="Times New Roman" w:eastAsia="Times New Roman" w:cs="Times New Roman"/>
        <w:sz w:val="18"/>
      </w:rPr>
      <w:t xml:space="preserve">                              </w:t>
    </w:r>
    <w:r>
      <w:rPr>
        <w:sz w:val="18"/>
      </w:rPr>
      <w:t xml:space="preserve">           第</w:t>
    </w:r>
    <w:r>
      <w:rPr>
        <w:rFonts w:hint="eastAsia"/>
        <w:sz w:val="18"/>
      </w:rPr>
      <w:t xml:space="preserve"> </w:t>
    </w:r>
    <w:r>
      <w:rPr>
        <w:sz w:val="18"/>
      </w:rPr>
      <w:fldChar w:fldCharType="begin"/>
    </w:r>
    <w:r>
      <w:rPr>
        <w:sz w:val="18"/>
      </w:rPr>
      <w:instrText xml:space="preserve"> PAGE   \* MERGEFORMAT </w:instrText>
    </w:r>
    <w:r>
      <w:rPr>
        <w:sz w:val="18"/>
      </w:rPr>
      <w:fldChar w:fldCharType="separate"/>
    </w:r>
    <w:r>
      <w:rPr>
        <w:sz w:val="18"/>
      </w:rPr>
      <w:t>1</w:t>
    </w:r>
    <w:r>
      <w:rPr>
        <w:sz w:val="18"/>
      </w:rPr>
      <w:fldChar w:fldCharType="end"/>
    </w:r>
    <w:r>
      <w:rPr>
        <w:sz w:val="18"/>
      </w:rPr>
      <w:t xml:space="preserve"> 页</w:t>
    </w:r>
  </w:p>
  <w:p>
    <w:pPr>
      <w:spacing w:after="0" w:line="262" w:lineRule="auto"/>
      <w:ind w:left="0" w:right="914" w:firstLine="360" w:firstLineChars="200"/>
    </w:pPr>
    <w:r>
      <w:rPr>
        <w:sz w:val="18"/>
      </w:rPr>
      <w:t>技术规格说明书</w:t>
    </w:r>
    <w:r>
      <w:rPr>
        <w:rFonts w:ascii="Times New Roman" w:hAnsi="Times New Roman" w:eastAsia="Times New Roman" w:cs="Times New Roman"/>
        <w:sz w:val="18"/>
      </w:rPr>
      <w:t>(</w:t>
    </w:r>
    <w:r>
      <w:rPr>
        <w:sz w:val="18"/>
      </w:rPr>
      <w:t>第</w:t>
    </w:r>
    <w:r>
      <w:rPr>
        <w:rFonts w:hint="eastAsia"/>
        <w:sz w:val="18"/>
      </w:rPr>
      <w:t>二</w:t>
    </w:r>
    <w:r>
      <w:rPr>
        <w:sz w:val="18"/>
      </w:rPr>
      <w:t>部分</w:t>
    </w:r>
    <w:r>
      <w:rPr>
        <w:rFonts w:ascii="Times New Roman" w:hAnsi="Times New Roman" w:eastAsia="Times New Roman" w:cs="Times New Roman"/>
        <w:sz w:val="18"/>
      </w:rPr>
      <w:t xml:space="preserve">)  </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after="0" w:line="263" w:lineRule="auto"/>
      <w:ind w:left="605" w:right="0" w:firstLine="0"/>
    </w:pPr>
    <w:r>
      <w:rPr>
        <w:rFonts w:ascii="微软雅黑" w:hAnsi="微软雅黑" w:eastAsia="微软雅黑" w:cs="微软雅黑"/>
        <w:sz w:val="18"/>
        <w:u w:val="single" w:color="000000"/>
      </w:rPr>
      <w:t xml:space="preserve"> </w:t>
    </w:r>
    <w:r>
      <w:rPr>
        <w:rFonts w:ascii="微软雅黑" w:hAnsi="微软雅黑" w:eastAsia="微软雅黑" w:cs="微软雅黑"/>
        <w:sz w:val="18"/>
        <w:u w:val="single" w:color="000000"/>
      </w:rPr>
      <w:tab/>
    </w:r>
    <w:r>
      <w:rPr>
        <w:rFonts w:ascii="微软雅黑" w:hAnsi="微软雅黑" w:eastAsia="微软雅黑" w:cs="微软雅黑"/>
        <w:sz w:val="18"/>
      </w:rPr>
      <w:t xml:space="preserve"> </w:t>
    </w:r>
    <w:r>
      <w:rPr>
        <w:sz w:val="18"/>
      </w:rPr>
      <w:t>智能化系统</w:t>
    </w:r>
    <w:r>
      <w:rPr>
        <w:rFonts w:ascii="Times New Roman" w:hAnsi="Times New Roman" w:eastAsia="Times New Roman" w:cs="Times New Roman"/>
        <w:sz w:val="18"/>
      </w:rPr>
      <w:t xml:space="preserve"> </w:t>
    </w:r>
    <w:r>
      <w:rPr>
        <w:rFonts w:ascii="Times New Roman" w:hAnsi="Times New Roman" w:eastAsia="Times New Roman" w:cs="Times New Roman"/>
        <w:sz w:val="18"/>
      </w:rPr>
      <w:tab/>
    </w:r>
    <w:r>
      <w:rPr>
        <w:rFonts w:ascii="Times New Roman" w:hAnsi="Times New Roman" w:eastAsia="Times New Roman" w:cs="Times New Roman"/>
        <w:sz w:val="18"/>
      </w:rPr>
      <w:t xml:space="preserve"> </w:t>
    </w:r>
    <w:r>
      <w:rPr>
        <w:rFonts w:ascii="Times New Roman" w:hAnsi="Times New Roman" w:eastAsia="Times New Roman" w:cs="Times New Roman"/>
        <w:sz w:val="18"/>
      </w:rPr>
      <w:tab/>
    </w:r>
    <w:r>
      <w:rPr>
        <w:sz w:val="18"/>
      </w:rPr>
      <w:t>第</w:t>
    </w:r>
    <w:r>
      <w:fldChar w:fldCharType="begin"/>
    </w:r>
    <w:r>
      <w:instrText xml:space="preserve"> PAGE   \* MERGEFORMAT </w:instrText>
    </w:r>
    <w:r>
      <w:fldChar w:fldCharType="separate"/>
    </w:r>
    <w:r>
      <w:rPr>
        <w:sz w:val="18"/>
      </w:rPr>
      <w:t>1</w:t>
    </w:r>
    <w:r>
      <w:rPr>
        <w:sz w:val="18"/>
      </w:rPr>
      <w:fldChar w:fldCharType="end"/>
    </w:r>
    <w:r>
      <w:rPr>
        <w:sz w:val="18"/>
      </w:rPr>
      <w:t>页</w:t>
    </w:r>
    <w:r>
      <w:rPr>
        <w:rFonts w:ascii="Times New Roman" w:hAnsi="Times New Roman" w:eastAsia="Times New Roman" w:cs="Times New Roman"/>
        <w:sz w:val="18"/>
      </w:rPr>
      <w:t xml:space="preserve"> </w:t>
    </w:r>
  </w:p>
  <w:p>
    <w:pPr>
      <w:spacing w:after="0" w:line="259" w:lineRule="auto"/>
      <w:ind w:left="605" w:right="0" w:firstLine="0"/>
    </w:pPr>
    <w:r>
      <w:rPr>
        <w:sz w:val="18"/>
      </w:rPr>
      <w:t>技术规格说明书</w:t>
    </w:r>
    <w:r>
      <w:rPr>
        <w:rFonts w:ascii="Times New Roman" w:hAnsi="Times New Roman" w:eastAsia="Times New Roman" w:cs="Times New Roman"/>
        <w:sz w:val="18"/>
      </w:rPr>
      <w:t>(</w:t>
    </w:r>
    <w:r>
      <w:rPr>
        <w:sz w:val="18"/>
      </w:rPr>
      <w:t>第二部分</w:t>
    </w:r>
    <w:r>
      <w:rPr>
        <w:rFonts w:ascii="Times New Roman" w:hAnsi="Times New Roman" w:eastAsia="Times New Roman" w:cs="Times New Roman"/>
        <w:sz w:val="18"/>
      </w:rPr>
      <w:t xml:space="preserve">) </w:t>
    </w:r>
  </w:p>
  <w:p>
    <w:pPr>
      <w:spacing w:after="0" w:line="259" w:lineRule="auto"/>
      <w:ind w:left="605" w:right="0" w:firstLine="0"/>
    </w:pPr>
    <w:r>
      <w:rPr>
        <w:rFonts w:ascii="Times New Roman" w:hAnsi="Times New Roman" w:eastAsia="Times New Roman" w:cs="Times New Roman"/>
        <w:sz w:val="18"/>
      </w:rPr>
      <w:t xml:space="preserve"> </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after="160" w:line="259" w:lineRule="auto"/>
      <w:ind w:left="0" w:right="0" w:firstLine="0"/>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after="160" w:line="259" w:lineRule="auto"/>
      <w:ind w:left="0" w:right="0" w:firstLine="0"/>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after="160" w:line="259" w:lineRule="auto"/>
      <w:ind w:left="0" w:right="0" w:firstLine="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2" w:lineRule="auto"/>
      </w:pPr>
      <w:r>
        <w:separator/>
      </w:r>
    </w:p>
  </w:footnote>
  <w:footnote w:type="continuationSeparator" w:id="1">
    <w:p>
      <w:pPr>
        <w:spacing w:before="0" w:after="0" w:line="252"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after="45" w:line="262" w:lineRule="auto"/>
      <w:ind w:left="0" w:right="0" w:firstLine="0"/>
      <w:rPr>
        <w:rFonts w:ascii="微软雅黑" w:hAnsi="微软雅黑" w:eastAsia="微软雅黑" w:cs="微软雅黑"/>
        <w:sz w:val="18"/>
      </w:rPr>
    </w:pPr>
    <w:r>
      <w:rPr>
        <w:rFonts w:hint="eastAsia"/>
        <w:sz w:val="18"/>
      </w:rPr>
      <w:t>深圳市建筑设计研究总院有限公司</w:t>
    </w:r>
    <w:r>
      <w:rPr>
        <w:sz w:val="18"/>
      </w:rPr>
      <w:t xml:space="preserve"> </w:t>
    </w:r>
    <w:r>
      <w:rPr>
        <w:rFonts w:ascii="微软雅黑" w:hAnsi="微软雅黑" w:eastAsia="微软雅黑" w:cs="微软雅黑"/>
        <w:sz w:val="18"/>
      </w:rPr>
      <w:tab/>
    </w:r>
    <w:r>
      <w:rPr>
        <w:rFonts w:ascii="微软雅黑" w:hAnsi="微软雅黑" w:eastAsia="微软雅黑" w:cs="微软雅黑"/>
        <w:sz w:val="18"/>
      </w:rPr>
      <w:t xml:space="preserve"> </w:t>
    </w:r>
  </w:p>
  <w:p>
    <w:pPr>
      <w:spacing w:after="160" w:line="259" w:lineRule="auto"/>
      <w:ind w:left="0" w:right="0" w:firstLine="0"/>
    </w:pPr>
    <w:r>
      <w:rPr>
        <w:rFonts w:hint="eastAsia"/>
        <w:sz w:val="18"/>
      </w:rPr>
      <w:t>中山大学附属第一医院</w:t>
    </w:r>
    <w:r>
      <w:rPr>
        <w:rFonts w:hint="eastAsia"/>
        <w:sz w:val="18"/>
        <w:lang w:val="en-US" w:eastAsia="zh-CN"/>
      </w:rPr>
      <w:t>数据中心及配套建设工程</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after="45" w:line="262" w:lineRule="auto"/>
      <w:ind w:left="0" w:right="0" w:firstLine="0"/>
      <w:rPr>
        <w:rFonts w:ascii="微软雅黑" w:hAnsi="微软雅黑" w:eastAsia="微软雅黑" w:cs="微软雅黑"/>
        <w:sz w:val="18"/>
      </w:rPr>
    </w:pPr>
    <w:r>
      <w:rPr>
        <w:rFonts w:hint="eastAsia"/>
        <w:sz w:val="18"/>
      </w:rPr>
      <w:t>深圳市建筑设计研究总院有限公司</w:t>
    </w:r>
    <w:r>
      <w:rPr>
        <w:sz w:val="18"/>
      </w:rPr>
      <w:t xml:space="preserve"> </w:t>
    </w:r>
    <w:r>
      <w:rPr>
        <w:rFonts w:ascii="微软雅黑" w:hAnsi="微软雅黑" w:eastAsia="微软雅黑" w:cs="微软雅黑"/>
        <w:sz w:val="18"/>
      </w:rPr>
      <w:tab/>
    </w:r>
    <w:r>
      <w:rPr>
        <w:rFonts w:ascii="微软雅黑" w:hAnsi="微软雅黑" w:eastAsia="微软雅黑" w:cs="微软雅黑"/>
        <w:sz w:val="18"/>
      </w:rPr>
      <w:t xml:space="preserve"> </w:t>
    </w:r>
  </w:p>
  <w:p>
    <w:pPr>
      <w:pStyle w:val="6"/>
      <w:pBdr>
        <w:bottom w:val="none" w:color="auto" w:sz="0" w:space="0"/>
      </w:pBdr>
      <w:ind w:left="0" w:firstLine="0"/>
      <w:jc w:val="both"/>
    </w:pPr>
    <w:r>
      <w:rPr>
        <w:rFonts w:hint="eastAsia"/>
        <w:sz w:val="18"/>
      </w:rPr>
      <w:t>中山大学附属第一医院</w:t>
    </w:r>
    <w:r>
      <w:rPr>
        <w:rFonts w:hint="eastAsia"/>
        <w:sz w:val="18"/>
        <w:lang w:val="en-US" w:eastAsia="zh-CN"/>
      </w:rPr>
      <w:t>数据中心及配套建设工程</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after="160" w:line="259" w:lineRule="auto"/>
      <w:ind w:left="0" w:right="0" w:firstLine="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after="45" w:line="262" w:lineRule="auto"/>
      <w:ind w:left="272" w:right="0" w:firstLine="360" w:firstLineChars="200"/>
      <w:rPr>
        <w:rFonts w:ascii="微软雅黑" w:hAnsi="微软雅黑" w:eastAsia="微软雅黑" w:cs="微软雅黑"/>
        <w:sz w:val="18"/>
      </w:rPr>
    </w:pPr>
    <w:r>
      <w:rPr>
        <w:rFonts w:hint="eastAsia"/>
        <w:sz w:val="18"/>
      </w:rPr>
      <w:t>深圳市建筑设计研究总院有限公司</w:t>
    </w:r>
    <w:r>
      <w:rPr>
        <w:sz w:val="18"/>
      </w:rPr>
      <w:t xml:space="preserve"> </w:t>
    </w:r>
    <w:r>
      <w:rPr>
        <w:rFonts w:ascii="微软雅黑" w:hAnsi="微软雅黑" w:eastAsia="微软雅黑" w:cs="微软雅黑"/>
        <w:sz w:val="18"/>
      </w:rPr>
      <w:tab/>
    </w:r>
    <w:r>
      <w:rPr>
        <w:rFonts w:ascii="微软雅黑" w:hAnsi="微软雅黑" w:eastAsia="微软雅黑" w:cs="微软雅黑"/>
        <w:sz w:val="18"/>
      </w:rPr>
      <w:t xml:space="preserve"> </w:t>
    </w:r>
  </w:p>
  <w:p>
    <w:pPr>
      <w:spacing w:after="45" w:line="262" w:lineRule="auto"/>
      <w:ind w:left="272" w:right="0" w:firstLine="360" w:firstLineChars="200"/>
      <w:rPr>
        <w:sz w:val="18"/>
      </w:rPr>
    </w:pPr>
    <w:r>
      <w:rPr>
        <w:sz w:val="18"/>
      </w:rPr>
      <mc:AlternateContent>
        <mc:Choice Requires="wpg">
          <w:drawing>
            <wp:anchor distT="0" distB="0" distL="114300" distR="114300" simplePos="0" relativeHeight="251660288" behindDoc="0" locked="0" layoutInCell="1" allowOverlap="1">
              <wp:simplePos x="0" y="0"/>
              <wp:positionH relativeFrom="page">
                <wp:posOffset>895350</wp:posOffset>
              </wp:positionH>
              <wp:positionV relativeFrom="page">
                <wp:posOffset>870585</wp:posOffset>
              </wp:positionV>
              <wp:extent cx="5772150" cy="6350"/>
              <wp:effectExtent l="0" t="0" r="0" b="0"/>
              <wp:wrapSquare wrapText="bothSides"/>
              <wp:docPr id="1" name="Group 44876"/>
              <wp:cNvGraphicFramePr/>
              <a:graphic xmlns:a="http://schemas.openxmlformats.org/drawingml/2006/main">
                <a:graphicData uri="http://schemas.microsoft.com/office/word/2010/wordprocessingGroup">
                  <wpg:wgp>
                    <wpg:cNvGrpSpPr/>
                    <wpg:grpSpPr>
                      <a:xfrm>
                        <a:off x="0" y="0"/>
                        <a:ext cx="5771896" cy="6096"/>
                        <a:chOff x="0" y="0"/>
                        <a:chExt cx="5771896" cy="6096"/>
                      </a:xfrm>
                    </wpg:grpSpPr>
                    <wps:wsp>
                      <wps:cNvPr id="2" name="Shape 46679"/>
                      <wps:cNvSpPr/>
                      <wps:spPr>
                        <a:xfrm>
                          <a:off x="0" y="0"/>
                          <a:ext cx="5771896" cy="9144"/>
                        </a:xfrm>
                        <a:custGeom>
                          <a:avLst/>
                          <a:gdLst/>
                          <a:ahLst/>
                          <a:cxnLst/>
                          <a:rect l="0" t="0" r="0" b="0"/>
                          <a:pathLst>
                            <a:path w="5771896" h="9144">
                              <a:moveTo>
                                <a:pt x="0" y="0"/>
                              </a:moveTo>
                              <a:lnTo>
                                <a:pt x="5771896" y="0"/>
                              </a:lnTo>
                              <a:lnTo>
                                <a:pt x="5771896"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w:pict>
            <v:group id="Group 44876" o:spid="_x0000_s1026" o:spt="203" style="position:absolute;left:0pt;margin-left:70.5pt;margin-top:68.55pt;height:0.5pt;width:454.5pt;mso-position-horizontal-relative:page;mso-position-vertical-relative:page;mso-wrap-distance-bottom:0pt;mso-wrap-distance-left:9pt;mso-wrap-distance-right:9pt;mso-wrap-distance-top:0pt;z-index:251660288;mso-width-relative:page;mso-height-relative:page;" coordsize="5771896,6096" o:gfxdata="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">
              <o:lock v:ext="edit" aspectratio="f"/>
              <v:shape id="Shape 46679" o:spid="_x0000_s1026" o:spt="100" style="position:absolute;left:0;top:0;height:9144;width:5771896;" fillcolor="#000000" filled="t" stroked="f" coordsize="5771896,9144" o:gfxdata="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vH2Z4L4A&#10;AADaAAAADwAAAAAAAAABACAAAAAiAAAAZHJzL2Rvd25yZXYueG1sUEsBAhQAFAAAAAgAh07iQDMv&#10;BZ47AAAAOQAAABAAAAAAAAAAAQAgAAAADQEAAGRycy9zaGFwZXhtbC54bWxQSwUGAAAAAAYABgBb&#10;AQAAtwMAAAAA&#10;" path="m0,0l5771896,0,5771896,9144,0,9144,0,0e">
                <v:fill on="t" focussize="0,0"/>
                <v:stroke on="f" weight="0pt" miterlimit="1" joinstyle="miter"/>
                <v:imagedata o:title=""/>
                <o:lock v:ext="edit" aspectratio="f"/>
              </v:shape>
              <w10:wrap type="square"/>
            </v:group>
          </w:pict>
        </mc:Fallback>
      </mc:AlternateContent>
    </w:r>
    <w:r>
      <w:rPr>
        <w:rFonts w:hint="eastAsia"/>
        <w:sz w:val="18"/>
      </w:rPr>
      <w:t>中山大学附属第一医院</w:t>
    </w:r>
    <w:r>
      <w:rPr>
        <w:rFonts w:hint="eastAsia"/>
        <w:sz w:val="18"/>
        <w:lang w:val="en-US" w:eastAsia="zh-CN"/>
      </w:rPr>
      <w:t>数据中心及配套建设工程</w:t>
    </w:r>
    <w:r>
      <w:rPr>
        <w:sz w:val="18"/>
      </w:rPr>
      <w:t xml:space="preserve"> </w:t>
    </w:r>
    <w:r>
      <w:rPr>
        <w:rFonts w:ascii="Times New Roman" w:hAnsi="Times New Roman" w:eastAsia="Times New Roman" w:cs="Times New Roman"/>
        <w:sz w:val="22"/>
      </w:rPr>
      <w:t xml:space="preserve"> </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after="45" w:line="262" w:lineRule="auto"/>
      <w:ind w:left="9" w:right="0" w:firstLine="540" w:firstLineChars="300"/>
      <w:rPr>
        <w:rFonts w:ascii="微软雅黑" w:hAnsi="微软雅黑" w:eastAsia="微软雅黑" w:cs="微软雅黑"/>
        <w:sz w:val="18"/>
      </w:rPr>
    </w:pPr>
    <w:r>
      <w:rPr>
        <w:rFonts w:hint="eastAsia"/>
        <w:sz w:val="18"/>
      </w:rPr>
      <w:t>深圳市建筑设计研究总院有限公司</w:t>
    </w:r>
    <w:r>
      <w:rPr>
        <w:sz w:val="18"/>
      </w:rPr>
      <w:t xml:space="preserve"> </w:t>
    </w:r>
    <w:r>
      <w:rPr>
        <w:rFonts w:ascii="微软雅黑" w:hAnsi="微软雅黑" w:eastAsia="微软雅黑" w:cs="微软雅黑"/>
        <w:sz w:val="18"/>
      </w:rPr>
      <w:tab/>
    </w:r>
    <w:r>
      <w:rPr>
        <w:rFonts w:ascii="微软雅黑" w:hAnsi="微软雅黑" w:eastAsia="微软雅黑" w:cs="微软雅黑"/>
        <w:sz w:val="18"/>
      </w:rPr>
      <w:t xml:space="preserve"> </w:t>
    </w:r>
  </w:p>
  <w:p>
    <w:pPr>
      <w:spacing w:after="45" w:line="262" w:lineRule="auto"/>
      <w:ind w:left="9" w:right="0" w:firstLine="540" w:firstLineChars="300"/>
      <w:rPr>
        <w:sz w:val="18"/>
      </w:rPr>
    </w:pPr>
    <w:r>
      <w:rPr>
        <w:rFonts w:hint="eastAsia"/>
        <w:sz w:val="18"/>
      </w:rPr>
      <w:t>中山大学附属第一医院医学综合楼</w:t>
    </w:r>
    <w:r>
      <w:rPr>
        <w:rFonts w:hint="eastAsia"/>
        <w:sz w:val="18"/>
        <w:lang w:val="en-US" w:eastAsia="zh-CN"/>
      </w:rPr>
      <w:t>智能化工程</w:t>
    </w:r>
    <w:r>
      <w:rPr>
        <w:sz w:val="18"/>
      </w:rPr>
      <mc:AlternateContent>
        <mc:Choice Requires="wpg">
          <w:drawing>
            <wp:anchor distT="0" distB="0" distL="114300" distR="114300" simplePos="0" relativeHeight="251661312" behindDoc="0" locked="0" layoutInCell="1" allowOverlap="1">
              <wp:simplePos x="0" y="0"/>
              <wp:positionH relativeFrom="page">
                <wp:posOffset>895350</wp:posOffset>
              </wp:positionH>
              <wp:positionV relativeFrom="page">
                <wp:posOffset>870585</wp:posOffset>
              </wp:positionV>
              <wp:extent cx="5772150" cy="6350"/>
              <wp:effectExtent l="0" t="0" r="0" b="0"/>
              <wp:wrapSquare wrapText="bothSides"/>
              <wp:docPr id="5" name="Group 44876"/>
              <wp:cNvGraphicFramePr/>
              <a:graphic xmlns:a="http://schemas.openxmlformats.org/drawingml/2006/main">
                <a:graphicData uri="http://schemas.microsoft.com/office/word/2010/wordprocessingGroup">
                  <wpg:wgp>
                    <wpg:cNvGrpSpPr/>
                    <wpg:grpSpPr>
                      <a:xfrm>
                        <a:off x="0" y="0"/>
                        <a:ext cx="5771896" cy="6096"/>
                        <a:chOff x="0" y="0"/>
                        <a:chExt cx="5771896" cy="6096"/>
                      </a:xfrm>
                    </wpg:grpSpPr>
                    <wps:wsp>
                      <wps:cNvPr id="6" name="Shape 46679"/>
                      <wps:cNvSpPr/>
                      <wps:spPr>
                        <a:xfrm>
                          <a:off x="0" y="0"/>
                          <a:ext cx="5771896" cy="9144"/>
                        </a:xfrm>
                        <a:custGeom>
                          <a:avLst/>
                          <a:gdLst/>
                          <a:ahLst/>
                          <a:cxnLst/>
                          <a:rect l="0" t="0" r="0" b="0"/>
                          <a:pathLst>
                            <a:path w="5771896" h="9144">
                              <a:moveTo>
                                <a:pt x="0" y="0"/>
                              </a:moveTo>
                              <a:lnTo>
                                <a:pt x="5771896" y="0"/>
                              </a:lnTo>
                              <a:lnTo>
                                <a:pt x="5771896"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w:pict>
            <v:group id="Group 44876" o:spid="_x0000_s1026" o:spt="203" style="position:absolute;left:0pt;margin-left:70.5pt;margin-top:68.55pt;height:0.5pt;width:454.5pt;mso-position-horizontal-relative:page;mso-position-vertical-relative:page;mso-wrap-distance-bottom:0pt;mso-wrap-distance-left:9pt;mso-wrap-distance-right:9pt;mso-wrap-distance-top:0pt;z-index:251661312;mso-width-relative:page;mso-height-relative:page;" coordsize="5771896,6096" o:gfxdata="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">
              <o:lock v:ext="edit" aspectratio="f"/>
              <v:shape id="Shape 46679" o:spid="_x0000_s1026" o:spt="100" style="position:absolute;left:0;top:0;height:9144;width:5771896;" fillcolor="#000000" filled="t" stroked="f" coordsize="5771896,9144" o:gfxdata="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w0af474A&#10;AADaAAAADwAAAAAAAAABACAAAAAiAAAAZHJzL2Rvd25yZXYueG1sUEsBAhQAFAAAAAgAh07iQDMv&#10;BZ47AAAAOQAAABAAAAAAAAAAAQAgAAAADQEAAGRycy9zaGFwZXhtbC54bWxQSwUGAAAAAAYABgBb&#10;AQAAtwMAAAAA&#10;" path="m0,0l5771896,0,5771896,9144,0,9144,0,0e">
                <v:fill on="t" focussize="0,0"/>
                <v:stroke on="f" weight="0pt" miterlimit="1" joinstyle="miter"/>
                <v:imagedata o:title=""/>
                <o:lock v:ext="edit" aspectratio="f"/>
              </v:shape>
              <w10:wrap type="square"/>
            </v:group>
          </w:pict>
        </mc:Fallback>
      </mc:AlternateContent>
    </w:r>
    <w:r>
      <w:rPr>
        <w:rFonts w:ascii="Times New Roman" w:hAnsi="Times New Roman" w:eastAsia="Times New Roman" w:cs="Times New Roman"/>
        <w:sz w:val="22"/>
      </w:rPr>
      <w:t xml:space="preserve"> </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after="0" w:line="262" w:lineRule="auto"/>
      <w:ind w:left="605" w:right="0" w:firstLine="0"/>
    </w:pPr>
    <w:r>
      <w:rPr>
        <w:rFonts w:ascii="Calibri" w:hAnsi="Calibri" w:eastAsia="Calibri" w:cs="Calibri"/>
        <w:sz w:val="22"/>
      </w:rPr>
      <mc:AlternateContent>
        <mc:Choice Requires="wpg">
          <w:drawing>
            <wp:anchor distT="0" distB="0" distL="114300" distR="114300" simplePos="0" relativeHeight="251659264" behindDoc="0" locked="0" layoutInCell="1" allowOverlap="1">
              <wp:simplePos x="0" y="0"/>
              <wp:positionH relativeFrom="page">
                <wp:posOffset>895350</wp:posOffset>
              </wp:positionH>
              <wp:positionV relativeFrom="page">
                <wp:posOffset>756285</wp:posOffset>
              </wp:positionV>
              <wp:extent cx="5772150" cy="6350"/>
              <wp:effectExtent l="0" t="0" r="0" b="0"/>
              <wp:wrapSquare wrapText="bothSides"/>
              <wp:docPr id="70649" name="Group 70649"/>
              <wp:cNvGraphicFramePr/>
              <a:graphic xmlns:a="http://schemas.openxmlformats.org/drawingml/2006/main">
                <a:graphicData uri="http://schemas.microsoft.com/office/word/2010/wordprocessingGroup">
                  <wpg:wgp>
                    <wpg:cNvGrpSpPr/>
                    <wpg:grpSpPr>
                      <a:xfrm>
                        <a:off x="0" y="0"/>
                        <a:ext cx="5771896" cy="6096"/>
                        <a:chOff x="0" y="0"/>
                        <a:chExt cx="5771896" cy="6096"/>
                      </a:xfrm>
                    </wpg:grpSpPr>
                    <wps:wsp>
                      <wps:cNvPr id="72206" name="Shape 72206"/>
                      <wps:cNvSpPr/>
                      <wps:spPr>
                        <a:xfrm>
                          <a:off x="0" y="0"/>
                          <a:ext cx="5771896" cy="9144"/>
                        </a:xfrm>
                        <a:custGeom>
                          <a:avLst/>
                          <a:gdLst/>
                          <a:ahLst/>
                          <a:cxnLst/>
                          <a:rect l="0" t="0" r="0" b="0"/>
                          <a:pathLst>
                            <a:path w="5771896" h="9144">
                              <a:moveTo>
                                <a:pt x="0" y="0"/>
                              </a:moveTo>
                              <a:lnTo>
                                <a:pt x="5771896" y="0"/>
                              </a:lnTo>
                              <a:lnTo>
                                <a:pt x="5771896"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w:pict>
            <v:group id="Group 70649" o:spid="_x0000_s1026" o:spt="203" style="position:absolute;left:0pt;margin-left:70.5pt;margin-top:59.55pt;height:0.5pt;width:454.5pt;mso-position-horizontal-relative:page;mso-position-vertical-relative:page;mso-wrap-distance-bottom:0pt;mso-wrap-distance-left:9pt;mso-wrap-distance-right:9pt;mso-wrap-distance-top:0pt;z-index:251659264;mso-width-relative:page;mso-height-relative:page;" coordsize="5771896,6096" o:gfxdata="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">
              <o:lock v:ext="edit" aspectratio="f"/>
              <v:shape id="Shape 72206" o:spid="_x0000_s1026" o:spt="100" style="position:absolute;left:0;top:0;height:9144;width:5771896;" fillcolor="#000000" filled="t" stroked="f" coordsize="5771896,9144" o:gfxdata="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BZY&#10;7vnCAAAA3gAAAA8AAAAAAAAAAQAgAAAAIgAAAGRycy9kb3ducmV2LnhtbFBLAQIUABQAAAAIAIdO&#10;4kAzLwWeOwAAADkAAAAQAAAAAAAAAAEAIAAAABEBAABkcnMvc2hhcGV4bWwueG1sUEsFBgAAAAAG&#10;AAYAWwEAALsDAAAAAA==&#10;" path="m0,0l5771896,0,5771896,9144,0,9144,0,0e">
                <v:fill on="t" focussize="0,0"/>
                <v:stroke on="f" weight="0pt" miterlimit="1" joinstyle="miter"/>
                <v:imagedata o:title=""/>
                <o:lock v:ext="edit" aspectratio="f"/>
              </v:shape>
              <w10:wrap type="square"/>
            </v:group>
          </w:pict>
        </mc:Fallback>
      </mc:AlternateContent>
    </w:r>
    <w:r>
      <w:rPr>
        <w:sz w:val="18"/>
      </w:rPr>
      <w:t>奥雅纳工程顾问</w:t>
    </w:r>
    <w:r>
      <w:rPr>
        <w:rFonts w:ascii="Times New Roman" w:hAnsi="Times New Roman" w:eastAsia="Times New Roman" w:cs="Times New Roman"/>
        <w:sz w:val="18"/>
      </w:rPr>
      <w:t xml:space="preserve"> </w:t>
    </w:r>
    <w:r>
      <w:rPr>
        <w:rFonts w:ascii="Times New Roman" w:hAnsi="Times New Roman" w:eastAsia="Times New Roman" w:cs="Times New Roman"/>
        <w:sz w:val="18"/>
      </w:rPr>
      <w:tab/>
    </w:r>
    <w:r>
      <w:rPr>
        <w:rFonts w:ascii="Times New Roman" w:hAnsi="Times New Roman" w:eastAsia="Times New Roman" w:cs="Times New Roman"/>
        <w:sz w:val="18"/>
      </w:rPr>
      <w:t xml:space="preserve"> </w:t>
    </w:r>
    <w:r>
      <w:rPr>
        <w:sz w:val="18"/>
      </w:rPr>
      <w:t xml:space="preserve">天河商旅 </w:t>
    </w:r>
    <w:r>
      <w:rPr>
        <w:rFonts w:ascii="Times New Roman" w:hAnsi="Times New Roman" w:eastAsia="Times New Roman" w:cs="Times New Roman"/>
        <w:sz w:val="18"/>
      </w:rPr>
      <w:t>12-1</w:t>
    </w:r>
    <w:r>
      <w:rPr>
        <w:sz w:val="18"/>
      </w:rPr>
      <w:t>、</w:t>
    </w:r>
    <w:r>
      <w:rPr>
        <w:rFonts w:ascii="Times New Roman" w:hAnsi="Times New Roman" w:eastAsia="Times New Roman" w:cs="Times New Roman"/>
        <w:sz w:val="18"/>
      </w:rPr>
      <w:t xml:space="preserve">5 </w:t>
    </w:r>
    <w:r>
      <w:rPr>
        <w:sz w:val="18"/>
      </w:rPr>
      <w:t>项目</w:t>
    </w:r>
    <w:r>
      <w:rPr>
        <w:rFonts w:ascii="Times New Roman" w:hAnsi="Times New Roman" w:eastAsia="Times New Roman" w:cs="Times New Roman"/>
        <w:sz w:val="18"/>
      </w:rPr>
      <w:t xml:space="preserve"> </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after="160" w:line="259" w:lineRule="auto"/>
      <w:ind w:left="0" w:right="0" w:firstLine="0"/>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after="160" w:line="259" w:lineRule="auto"/>
      <w:ind w:left="0" w:right="0" w:firstLine="0"/>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after="160" w:line="259" w:lineRule="auto"/>
      <w:ind w:left="0" w:right="0" w:firstLine="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0A67CAD"/>
    <w:multiLevelType w:val="singleLevel"/>
    <w:tmpl w:val="80A67CAD"/>
    <w:lvl w:ilvl="0" w:tentative="0">
      <w:start w:val="1"/>
      <w:numFmt w:val="decimal"/>
      <w:suff w:val="nothing"/>
      <w:lvlText w:val="%1、"/>
      <w:lvlJc w:val="left"/>
    </w:lvl>
  </w:abstractNum>
  <w:abstractNum w:abstractNumId="1">
    <w:nsid w:val="85E5158D"/>
    <w:multiLevelType w:val="singleLevel"/>
    <w:tmpl w:val="85E5158D"/>
    <w:lvl w:ilvl="0" w:tentative="0">
      <w:start w:val="1"/>
      <w:numFmt w:val="decimal"/>
      <w:suff w:val="nothing"/>
      <w:lvlText w:val="%1、"/>
      <w:lvlJc w:val="left"/>
    </w:lvl>
  </w:abstractNum>
  <w:abstractNum w:abstractNumId="2">
    <w:nsid w:val="152E0163"/>
    <w:multiLevelType w:val="singleLevel"/>
    <w:tmpl w:val="152E0163"/>
    <w:lvl w:ilvl="0" w:tentative="0">
      <w:start w:val="1"/>
      <w:numFmt w:val="decimal"/>
      <w:suff w:val="nothing"/>
      <w:lvlText w:val="%1、"/>
      <w:lvlJc w:val="left"/>
    </w:lvl>
  </w:abstractNum>
  <w:abstractNum w:abstractNumId="3">
    <w:nsid w:val="2162030F"/>
    <w:multiLevelType w:val="singleLevel"/>
    <w:tmpl w:val="2162030F"/>
    <w:lvl w:ilvl="0" w:tentative="0">
      <w:start w:val="1"/>
      <w:numFmt w:val="decimal"/>
      <w:suff w:val="nothing"/>
      <w:lvlText w:val="%1、"/>
      <w:lvlJc w:val="left"/>
    </w:lvl>
  </w:abstractNum>
  <w:abstractNum w:abstractNumId="4">
    <w:nsid w:val="35054FE9"/>
    <w:multiLevelType w:val="multilevel"/>
    <w:tmpl w:val="35054FE9"/>
    <w:lvl w:ilvl="0" w:tentative="0">
      <w:start w:val="1"/>
      <w:numFmt w:val="decimal"/>
      <w:pStyle w:val="2"/>
      <w:lvlText w:val="%1."/>
      <w:lvlJc w:val="left"/>
      <w:pPr>
        <w:ind w:left="0"/>
      </w:pPr>
      <w:rPr>
        <w:rFonts w:hint="default" w:ascii="Times New Roman" w:hAnsi="Times New Roman" w:eastAsia="Calibri" w:cs="Times New Roman"/>
        <w:b/>
        <w:bCs/>
        <w:i w:val="0"/>
        <w:strike w:val="0"/>
        <w:dstrike w:val="0"/>
        <w:color w:val="000000"/>
        <w:sz w:val="24"/>
        <w:szCs w:val="24"/>
        <w:u w:val="none" w:color="000000"/>
        <w:shd w:val="clear" w:color="auto" w:fill="auto"/>
        <w:vertAlign w:val="baseline"/>
      </w:rPr>
    </w:lvl>
    <w:lvl w:ilvl="1" w:tentative="0">
      <w:start w:val="1"/>
      <w:numFmt w:val="decimal"/>
      <w:pStyle w:val="3"/>
      <w:lvlText w:val="%1.%2"/>
      <w:lvlJc w:val="left"/>
      <w:pPr>
        <w:ind w:left="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2" w:tentative="0">
      <w:start w:val="1"/>
      <w:numFmt w:val="lowerRoman"/>
      <w:lvlText w:val="%3"/>
      <w:lvlJc w:val="left"/>
      <w:pPr>
        <w:ind w:left="1685"/>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3" w:tentative="0">
      <w:start w:val="1"/>
      <w:numFmt w:val="decimal"/>
      <w:lvlText w:val="%4"/>
      <w:lvlJc w:val="left"/>
      <w:pPr>
        <w:ind w:left="2405"/>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4" w:tentative="0">
      <w:start w:val="1"/>
      <w:numFmt w:val="lowerLetter"/>
      <w:lvlText w:val="%5"/>
      <w:lvlJc w:val="left"/>
      <w:pPr>
        <w:ind w:left="3125"/>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5" w:tentative="0">
      <w:start w:val="1"/>
      <w:numFmt w:val="lowerRoman"/>
      <w:lvlText w:val="%6"/>
      <w:lvlJc w:val="left"/>
      <w:pPr>
        <w:ind w:left="3845"/>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6" w:tentative="0">
      <w:start w:val="1"/>
      <w:numFmt w:val="decimal"/>
      <w:lvlText w:val="%7"/>
      <w:lvlJc w:val="left"/>
      <w:pPr>
        <w:ind w:left="4565"/>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7" w:tentative="0">
      <w:start w:val="1"/>
      <w:numFmt w:val="lowerLetter"/>
      <w:lvlText w:val="%8"/>
      <w:lvlJc w:val="left"/>
      <w:pPr>
        <w:ind w:left="5285"/>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8" w:tentative="0">
      <w:start w:val="1"/>
      <w:numFmt w:val="lowerRoman"/>
      <w:lvlText w:val="%9"/>
      <w:lvlJc w:val="left"/>
      <w:pPr>
        <w:ind w:left="6005"/>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abstractNum>
  <w:abstractNum w:abstractNumId="5">
    <w:nsid w:val="639FB696"/>
    <w:multiLevelType w:val="singleLevel"/>
    <w:tmpl w:val="639FB696"/>
    <w:lvl w:ilvl="0" w:tentative="0">
      <w:start w:val="1"/>
      <w:numFmt w:val="decimal"/>
      <w:suff w:val="nothing"/>
      <w:lvlText w:val="%1、"/>
      <w:lvlJc w:val="left"/>
    </w:lvl>
  </w:abstractNum>
  <w:abstractNum w:abstractNumId="6">
    <w:nsid w:val="67A56278"/>
    <w:multiLevelType w:val="singleLevel"/>
    <w:tmpl w:val="67A56278"/>
    <w:lvl w:ilvl="0" w:tentative="0">
      <w:start w:val="1"/>
      <w:numFmt w:val="decimal"/>
      <w:suff w:val="nothing"/>
      <w:lvlText w:val="%1、"/>
      <w:lvlJc w:val="left"/>
    </w:lvl>
  </w:abstractNum>
  <w:abstractNum w:abstractNumId="7">
    <w:nsid w:val="6C1A6751"/>
    <w:multiLevelType w:val="multilevel"/>
    <w:tmpl w:val="6C1A6751"/>
    <w:lvl w:ilvl="0" w:tentative="0">
      <w:start w:val="1"/>
      <w:numFmt w:val="lowerLetter"/>
      <w:lvlText w:val="%1)"/>
      <w:lvlJc w:val="left"/>
      <w:pPr>
        <w:ind w:left="2222"/>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1" w:tentative="0">
      <w:start w:val="1"/>
      <w:numFmt w:val="lowerLetter"/>
      <w:lvlText w:val="%2"/>
      <w:lvlJc w:val="left"/>
      <w:pPr>
        <w:ind w:left="2763"/>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2" w:tentative="0">
      <w:start w:val="1"/>
      <w:numFmt w:val="lowerRoman"/>
      <w:lvlText w:val="%3"/>
      <w:lvlJc w:val="left"/>
      <w:pPr>
        <w:ind w:left="3483"/>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3" w:tentative="0">
      <w:start w:val="1"/>
      <w:numFmt w:val="decimal"/>
      <w:lvlText w:val="%4"/>
      <w:lvlJc w:val="left"/>
      <w:pPr>
        <w:ind w:left="4203"/>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4" w:tentative="0">
      <w:start w:val="1"/>
      <w:numFmt w:val="lowerLetter"/>
      <w:lvlText w:val="%5"/>
      <w:lvlJc w:val="left"/>
      <w:pPr>
        <w:ind w:left="4923"/>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5" w:tentative="0">
      <w:start w:val="1"/>
      <w:numFmt w:val="lowerRoman"/>
      <w:lvlText w:val="%6"/>
      <w:lvlJc w:val="left"/>
      <w:pPr>
        <w:ind w:left="5643"/>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6" w:tentative="0">
      <w:start w:val="1"/>
      <w:numFmt w:val="decimal"/>
      <w:lvlText w:val="%7"/>
      <w:lvlJc w:val="left"/>
      <w:pPr>
        <w:ind w:left="6363"/>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7" w:tentative="0">
      <w:start w:val="1"/>
      <w:numFmt w:val="lowerLetter"/>
      <w:lvlText w:val="%8"/>
      <w:lvlJc w:val="left"/>
      <w:pPr>
        <w:ind w:left="7083"/>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8" w:tentative="0">
      <w:start w:val="1"/>
      <w:numFmt w:val="lowerRoman"/>
      <w:lvlText w:val="%9"/>
      <w:lvlJc w:val="left"/>
      <w:pPr>
        <w:ind w:left="7803"/>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abstractNum>
  <w:num w:numId="1">
    <w:abstractNumId w:val="4"/>
  </w:num>
  <w:num w:numId="2">
    <w:abstractNumId w:val="6"/>
  </w:num>
  <w:num w:numId="3">
    <w:abstractNumId w:val="3"/>
  </w:num>
  <w:num w:numId="4">
    <w:abstractNumId w:val="5"/>
  </w:num>
  <w:num w:numId="5">
    <w:abstractNumId w:val="2"/>
  </w:num>
  <w:num w:numId="6">
    <w:abstractNumId w:val="0"/>
  </w:num>
  <w:num w:numId="7">
    <w:abstractNumId w:val="1"/>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oNotDisplayPageBoundaries w:val="1"/>
  <w:bordersDoNotSurroundHeader w:val="0"/>
  <w:bordersDoNotSurroundFooter w:val="0"/>
  <w:documentProtection w:enforcement="0"/>
  <w:defaultTabStop w:val="420"/>
  <w:evenAndOddHeaders w:val="1"/>
  <w:displayHorizontalDrawingGridEvery w:val="1"/>
  <w:displayVerticalDrawingGridEvery w:val="1"/>
  <w:noPunctuationKerning w:val="1"/>
  <w:characterSpacingControl w:val="doNotCompress"/>
  <w:footnotePr>
    <w:footnote w:id="0"/>
    <w:footnote w:id="1"/>
  </w:footnotePr>
  <w:endnotePr>
    <w:endnote w:id="0"/>
    <w:endnote w:id="1"/>
  </w:end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WFiNWE4NTgzNjE1ZjEwZTA3NzY5NTljMmUxMmM3OGEifQ=="/>
  </w:docVars>
  <w:rsids>
    <w:rsidRoot w:val="0015150A"/>
    <w:rsid w:val="000B139D"/>
    <w:rsid w:val="0015150A"/>
    <w:rsid w:val="00153967"/>
    <w:rsid w:val="00287D6A"/>
    <w:rsid w:val="003356A6"/>
    <w:rsid w:val="008254ED"/>
    <w:rsid w:val="009E7FA6"/>
    <w:rsid w:val="00BA18A5"/>
    <w:rsid w:val="00BA40CC"/>
    <w:rsid w:val="00C91D56"/>
    <w:rsid w:val="00D464A8"/>
    <w:rsid w:val="00D67527"/>
    <w:rsid w:val="00D70A71"/>
    <w:rsid w:val="00E06034"/>
    <w:rsid w:val="0A750046"/>
    <w:rsid w:val="0CD53808"/>
    <w:rsid w:val="128E3C80"/>
    <w:rsid w:val="1A935AC3"/>
    <w:rsid w:val="1BA164C4"/>
    <w:rsid w:val="1C9E23A4"/>
    <w:rsid w:val="1D0031BC"/>
    <w:rsid w:val="1D2B677F"/>
    <w:rsid w:val="1FAE2A53"/>
    <w:rsid w:val="206861F7"/>
    <w:rsid w:val="228B0052"/>
    <w:rsid w:val="22C86B58"/>
    <w:rsid w:val="24676627"/>
    <w:rsid w:val="284F30AB"/>
    <w:rsid w:val="2A48356C"/>
    <w:rsid w:val="2B225D39"/>
    <w:rsid w:val="2C345B0D"/>
    <w:rsid w:val="30DD7796"/>
    <w:rsid w:val="31DB4D19"/>
    <w:rsid w:val="338B0CAE"/>
    <w:rsid w:val="374F04AF"/>
    <w:rsid w:val="382E6E9F"/>
    <w:rsid w:val="3C6A055D"/>
    <w:rsid w:val="3D2C5657"/>
    <w:rsid w:val="3D40512F"/>
    <w:rsid w:val="3F486438"/>
    <w:rsid w:val="41E50CD2"/>
    <w:rsid w:val="44E36CD2"/>
    <w:rsid w:val="45E85836"/>
    <w:rsid w:val="463A7220"/>
    <w:rsid w:val="46AF0AA0"/>
    <w:rsid w:val="46E040ED"/>
    <w:rsid w:val="48A65EEE"/>
    <w:rsid w:val="49395139"/>
    <w:rsid w:val="4B763B03"/>
    <w:rsid w:val="50321433"/>
    <w:rsid w:val="504A466C"/>
    <w:rsid w:val="532145E9"/>
    <w:rsid w:val="55CD59C7"/>
    <w:rsid w:val="57027F0E"/>
    <w:rsid w:val="5C0B171B"/>
    <w:rsid w:val="5C4E65B3"/>
    <w:rsid w:val="5CF729CC"/>
    <w:rsid w:val="5D5206A8"/>
    <w:rsid w:val="5FA735EE"/>
    <w:rsid w:val="62B82F88"/>
    <w:rsid w:val="63A31DB5"/>
    <w:rsid w:val="63B45DD2"/>
    <w:rsid w:val="653066DA"/>
    <w:rsid w:val="66182ABE"/>
    <w:rsid w:val="66296041"/>
    <w:rsid w:val="67E57ED5"/>
    <w:rsid w:val="6B584A14"/>
    <w:rsid w:val="6CF6671B"/>
    <w:rsid w:val="6E7361E8"/>
    <w:rsid w:val="75927AD0"/>
    <w:rsid w:val="78182D6E"/>
    <w:rsid w:val="783B38F4"/>
    <w:rsid w:val="79B473CE"/>
    <w:rsid w:val="79EE02D2"/>
    <w:rsid w:val="7DFF71C4"/>
    <w:rsid w:val="7E2413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49" w:line="252" w:lineRule="auto"/>
      <w:ind w:left="118" w:right="697" w:hanging="10"/>
    </w:pPr>
    <w:rPr>
      <w:rFonts w:ascii="宋体" w:hAnsi="宋体" w:eastAsia="宋体" w:cs="宋体"/>
      <w:color w:val="000000"/>
      <w:kern w:val="2"/>
      <w:sz w:val="24"/>
      <w:szCs w:val="22"/>
      <w:lang w:val="en-US" w:eastAsia="zh-CN" w:bidi="ar-SA"/>
    </w:rPr>
  </w:style>
  <w:style w:type="paragraph" w:styleId="2">
    <w:name w:val="heading 1"/>
    <w:next w:val="1"/>
    <w:link w:val="12"/>
    <w:qFormat/>
    <w:uiPriority w:val="9"/>
    <w:pPr>
      <w:keepNext/>
      <w:keepLines/>
      <w:numPr>
        <w:ilvl w:val="0"/>
        <w:numId w:val="1"/>
      </w:numPr>
      <w:spacing w:after="249" w:line="252" w:lineRule="auto"/>
      <w:ind w:right="697"/>
      <w:outlineLvl w:val="0"/>
    </w:pPr>
    <w:rPr>
      <w:rFonts w:ascii="宋体" w:hAnsi="宋体" w:eastAsia="宋体" w:cs="宋体"/>
      <w:color w:val="000000"/>
      <w:kern w:val="2"/>
      <w:sz w:val="24"/>
      <w:szCs w:val="22"/>
      <w:lang w:val="en-US" w:eastAsia="zh-CN" w:bidi="ar-SA"/>
    </w:rPr>
  </w:style>
  <w:style w:type="paragraph" w:styleId="3">
    <w:name w:val="heading 2"/>
    <w:next w:val="1"/>
    <w:link w:val="11"/>
    <w:unhideWhenUsed/>
    <w:qFormat/>
    <w:uiPriority w:val="9"/>
    <w:pPr>
      <w:keepNext/>
      <w:keepLines/>
      <w:numPr>
        <w:ilvl w:val="1"/>
        <w:numId w:val="1"/>
      </w:numPr>
      <w:spacing w:line="259" w:lineRule="auto"/>
      <w:outlineLvl w:val="1"/>
    </w:pPr>
    <w:rPr>
      <w:rFonts w:ascii="Times New Roman" w:hAnsi="Times New Roman" w:eastAsia="Times New Roman" w:cs="Times New Roman"/>
      <w:color w:val="000000"/>
      <w:kern w:val="2"/>
      <w:sz w:val="24"/>
      <w:szCs w:val="22"/>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4">
    <w:name w:val="annotation text"/>
    <w:basedOn w:val="1"/>
    <w:semiHidden/>
    <w:unhideWhenUsed/>
    <w:qFormat/>
    <w:uiPriority w:val="99"/>
  </w:style>
  <w:style w:type="paragraph" w:styleId="5">
    <w:name w:val="footer"/>
    <w:basedOn w:val="1"/>
    <w:link w:val="15"/>
    <w:semiHidden/>
    <w:unhideWhenUsed/>
    <w:qFormat/>
    <w:uiPriority w:val="99"/>
    <w:pPr>
      <w:tabs>
        <w:tab w:val="center" w:pos="4153"/>
        <w:tab w:val="right" w:pos="8306"/>
      </w:tabs>
      <w:snapToGrid w:val="0"/>
      <w:spacing w:line="240" w:lineRule="auto"/>
    </w:pPr>
    <w:rPr>
      <w:sz w:val="18"/>
      <w:szCs w:val="18"/>
    </w:rPr>
  </w:style>
  <w:style w:type="paragraph" w:styleId="6">
    <w:name w:val="header"/>
    <w:basedOn w:val="1"/>
    <w:link w:val="14"/>
    <w:unhideWhenUsed/>
    <w:qFormat/>
    <w:uiPriority w:val="99"/>
    <w:pPr>
      <w:pBdr>
        <w:bottom w:val="single" w:color="auto" w:sz="6" w:space="1"/>
      </w:pBdr>
      <w:tabs>
        <w:tab w:val="center" w:pos="4153"/>
        <w:tab w:val="right" w:pos="8306"/>
      </w:tabs>
      <w:snapToGrid w:val="0"/>
      <w:spacing w:line="240" w:lineRule="auto"/>
      <w:jc w:val="center"/>
    </w:pPr>
    <w:rPr>
      <w:sz w:val="18"/>
      <w:szCs w:val="18"/>
    </w:rPr>
  </w:style>
  <w:style w:type="paragraph" w:styleId="7">
    <w:name w:val="toc 1"/>
    <w:next w:val="1"/>
    <w:hidden/>
    <w:qFormat/>
    <w:uiPriority w:val="0"/>
    <w:pPr>
      <w:spacing w:after="115" w:line="259" w:lineRule="auto"/>
      <w:ind w:left="25" w:right="59" w:hanging="10"/>
    </w:pPr>
    <w:rPr>
      <w:rFonts w:ascii="Times New Roman" w:hAnsi="Times New Roman" w:eastAsia="Times New Roman" w:cs="Times New Roman"/>
      <w:b/>
      <w:color w:val="000000"/>
      <w:kern w:val="2"/>
      <w:szCs w:val="22"/>
      <w:lang w:val="en-US" w:eastAsia="zh-CN" w:bidi="ar-SA"/>
    </w:rPr>
  </w:style>
  <w:style w:type="character" w:styleId="10">
    <w:name w:val="annotation reference"/>
    <w:basedOn w:val="9"/>
    <w:semiHidden/>
    <w:unhideWhenUsed/>
    <w:qFormat/>
    <w:uiPriority w:val="99"/>
    <w:rPr>
      <w:sz w:val="21"/>
      <w:szCs w:val="21"/>
    </w:rPr>
  </w:style>
  <w:style w:type="character" w:customStyle="1" w:styleId="11">
    <w:name w:val="标题 2 字符"/>
    <w:link w:val="3"/>
    <w:qFormat/>
    <w:uiPriority w:val="0"/>
    <w:rPr>
      <w:rFonts w:ascii="Times New Roman" w:hAnsi="Times New Roman" w:eastAsia="Times New Roman" w:cs="Times New Roman"/>
      <w:color w:val="000000"/>
      <w:sz w:val="24"/>
    </w:rPr>
  </w:style>
  <w:style w:type="character" w:customStyle="1" w:styleId="12">
    <w:name w:val="标题 1 字符"/>
    <w:link w:val="2"/>
    <w:qFormat/>
    <w:uiPriority w:val="0"/>
    <w:rPr>
      <w:rFonts w:ascii="宋体" w:hAnsi="宋体" w:eastAsia="宋体" w:cs="宋体"/>
      <w:color w:val="000000"/>
      <w:sz w:val="24"/>
    </w:rPr>
  </w:style>
  <w:style w:type="table" w:customStyle="1" w:styleId="13">
    <w:name w:val="TableGrid"/>
    <w:qFormat/>
    <w:uiPriority w:val="0"/>
    <w:tblPr>
      <w:tblCellMar>
        <w:top w:w="0" w:type="dxa"/>
        <w:left w:w="0" w:type="dxa"/>
        <w:bottom w:w="0" w:type="dxa"/>
        <w:right w:w="0" w:type="dxa"/>
      </w:tblCellMar>
    </w:tblPr>
  </w:style>
  <w:style w:type="character" w:customStyle="1" w:styleId="14">
    <w:name w:val="页眉 字符"/>
    <w:basedOn w:val="9"/>
    <w:link w:val="6"/>
    <w:qFormat/>
    <w:uiPriority w:val="99"/>
    <w:rPr>
      <w:rFonts w:ascii="宋体" w:hAnsi="宋体" w:eastAsia="宋体" w:cs="宋体"/>
      <w:color w:val="000000"/>
      <w:sz w:val="18"/>
      <w:szCs w:val="18"/>
    </w:rPr>
  </w:style>
  <w:style w:type="character" w:customStyle="1" w:styleId="15">
    <w:name w:val="页脚 字符"/>
    <w:basedOn w:val="9"/>
    <w:link w:val="5"/>
    <w:semiHidden/>
    <w:qFormat/>
    <w:uiPriority w:val="99"/>
    <w:rPr>
      <w:rFonts w:ascii="宋体" w:hAnsi="宋体" w:eastAsia="宋体" w:cs="宋体"/>
      <w:color w:val="000000"/>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2" Type="http://schemas.openxmlformats.org/officeDocument/2006/relationships/fontTable" Target="fontTable.xml"/><Relationship Id="rId31" Type="http://schemas.openxmlformats.org/officeDocument/2006/relationships/numbering" Target="numbering.xml"/><Relationship Id="rId30" Type="http://schemas.openxmlformats.org/officeDocument/2006/relationships/customXml" Target="../customXml/item1.xml"/><Relationship Id="rId3" Type="http://schemas.openxmlformats.org/officeDocument/2006/relationships/footnotes" Target="footnotes.xml"/><Relationship Id="rId29" Type="http://schemas.openxmlformats.org/officeDocument/2006/relationships/image" Target="media/image6.png"/><Relationship Id="rId28" Type="http://schemas.openxmlformats.org/officeDocument/2006/relationships/image" Target="media/image5.png"/><Relationship Id="rId27" Type="http://schemas.openxmlformats.org/officeDocument/2006/relationships/image" Target="media/image4.png"/><Relationship Id="rId26" Type="http://schemas.openxmlformats.org/officeDocument/2006/relationships/image" Target="media/image3.png"/><Relationship Id="rId25" Type="http://schemas.openxmlformats.org/officeDocument/2006/relationships/image" Target="media/image2.png"/><Relationship Id="rId24" Type="http://schemas.openxmlformats.org/officeDocument/2006/relationships/image" Target="media/image1.png"/><Relationship Id="rId23" Type="http://schemas.openxmlformats.org/officeDocument/2006/relationships/theme" Target="theme/theme1.xml"/><Relationship Id="rId22" Type="http://schemas.openxmlformats.org/officeDocument/2006/relationships/footer" Target="footer9.xml"/><Relationship Id="rId21" Type="http://schemas.openxmlformats.org/officeDocument/2006/relationships/footer" Target="footer8.xml"/><Relationship Id="rId20" Type="http://schemas.openxmlformats.org/officeDocument/2006/relationships/footer" Target="footer7.xml"/><Relationship Id="rId2" Type="http://schemas.openxmlformats.org/officeDocument/2006/relationships/settings" Target="settings.xml"/><Relationship Id="rId19" Type="http://schemas.openxmlformats.org/officeDocument/2006/relationships/header" Target="header9.xml"/><Relationship Id="rId18" Type="http://schemas.openxmlformats.org/officeDocument/2006/relationships/header" Target="header8.xml"/><Relationship Id="rId17" Type="http://schemas.openxmlformats.org/officeDocument/2006/relationships/header" Target="header7.xml"/><Relationship Id="rId16" Type="http://schemas.openxmlformats.org/officeDocument/2006/relationships/footer" Target="footer6.xml"/><Relationship Id="rId15" Type="http://schemas.openxmlformats.org/officeDocument/2006/relationships/footer" Target="footer5.xml"/><Relationship Id="rId14" Type="http://schemas.openxmlformats.org/officeDocument/2006/relationships/footer" Target="footer4.xml"/><Relationship Id="rId13" Type="http://schemas.openxmlformats.org/officeDocument/2006/relationships/header" Target="header6.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25</Pages>
  <Words>8514</Words>
  <Characters>8954</Characters>
  <Lines>95</Lines>
  <Paragraphs>26</Paragraphs>
  <TotalTime>0</TotalTime>
  <ScaleCrop>false</ScaleCrop>
  <LinksUpToDate>false</LinksUpToDate>
  <CharactersWithSpaces>9324</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2021-03-31T08:56:00Z</dcterms:created>
  <dc:creator>Ove Arup &amp; Partners HK Ltd</dc:creator>
  <cp:lastModifiedBy>陈智宏</cp:lastModifiedBy>
  <cp:lastPrinted>2021-10-07T14:45:00Z</cp:lastPrinted>
  <dcterms:modified xsi:type="dcterms:W3CDTF">2022-11-24T13:53:59Z</dcterms:modified>
  <dc:title>Report</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110477EF20404708B08FBB0BE0E55F6E</vt:lpwstr>
  </property>
</Properties>
</file>